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E08A" w14:textId="77777777" w:rsidR="00DE7639" w:rsidRDefault="00DE7639" w:rsidP="00CF7E52">
      <w:pPr>
        <w:adjustRightInd w:val="0"/>
        <w:snapToGrid w:val="0"/>
        <w:spacing w:after="0" w:line="240" w:lineRule="auto"/>
        <w:jc w:val="center"/>
        <w:rPr>
          <w:b/>
          <w:sz w:val="28"/>
          <w:szCs w:val="28"/>
        </w:rPr>
      </w:pPr>
      <w:bookmarkStart w:id="0" w:name="OLE_LINK625"/>
      <w:r w:rsidRPr="00DE7639">
        <w:rPr>
          <w:b/>
          <w:sz w:val="28"/>
          <w:szCs w:val="28"/>
        </w:rPr>
        <w:t>Improving Spam Filtering in Enterprise Email Systems with Blockchain-Based Token Incentive Mechanism</w:t>
      </w:r>
    </w:p>
    <w:p w14:paraId="21AC22C2" w14:textId="2FBE2ACE" w:rsidR="00063F63" w:rsidRDefault="00063F63" w:rsidP="00CF7E52">
      <w:pPr>
        <w:adjustRightInd w:val="0"/>
        <w:snapToGrid w:val="0"/>
        <w:spacing w:after="0" w:line="240" w:lineRule="auto"/>
        <w:jc w:val="center"/>
        <w:rPr>
          <w:szCs w:val="24"/>
        </w:rPr>
      </w:pPr>
      <w:proofErr w:type="spellStart"/>
      <w:r w:rsidRPr="007F37D4">
        <w:rPr>
          <w:szCs w:val="24"/>
        </w:rPr>
        <w:t>Xiaoying</w:t>
      </w:r>
      <w:proofErr w:type="spellEnd"/>
      <w:r w:rsidRPr="007F37D4">
        <w:rPr>
          <w:szCs w:val="24"/>
        </w:rPr>
        <w:t xml:space="preserve"> Xu</w:t>
      </w:r>
      <w:r w:rsidR="004E4DF6">
        <w:rPr>
          <w:szCs w:val="24"/>
        </w:rPr>
        <w:t xml:space="preserve"> </w:t>
      </w:r>
      <w:r w:rsidR="004E4DF6">
        <w:rPr>
          <w:szCs w:val="24"/>
          <w:vertAlign w:val="superscript"/>
        </w:rPr>
        <w:t>1</w:t>
      </w:r>
    </w:p>
    <w:p w14:paraId="2A50ACE2" w14:textId="48FAFBEF" w:rsidR="0087579C" w:rsidRDefault="0087579C" w:rsidP="00CF7E52">
      <w:pPr>
        <w:adjustRightInd w:val="0"/>
        <w:snapToGrid w:val="0"/>
        <w:spacing w:after="0" w:line="240" w:lineRule="auto"/>
        <w:jc w:val="center"/>
        <w:rPr>
          <w:szCs w:val="24"/>
        </w:rPr>
      </w:pPr>
      <w:proofErr w:type="spellStart"/>
      <w:r>
        <w:rPr>
          <w:szCs w:val="24"/>
        </w:rPr>
        <w:t>Minghao</w:t>
      </w:r>
      <w:proofErr w:type="spellEnd"/>
      <w:r>
        <w:rPr>
          <w:szCs w:val="24"/>
        </w:rPr>
        <w:t xml:space="preserve"> Tian</w:t>
      </w:r>
      <w:r w:rsidR="004E4DF6">
        <w:rPr>
          <w:szCs w:val="24"/>
        </w:rPr>
        <w:t xml:space="preserve"> </w:t>
      </w:r>
      <w:r w:rsidR="004E4DF6">
        <w:rPr>
          <w:szCs w:val="24"/>
          <w:vertAlign w:val="superscript"/>
        </w:rPr>
        <w:t>2</w:t>
      </w:r>
    </w:p>
    <w:p w14:paraId="14A63C6B" w14:textId="6379938C" w:rsidR="00990FF6" w:rsidRDefault="00990FF6" w:rsidP="00990FF6">
      <w:pPr>
        <w:adjustRightInd w:val="0"/>
        <w:snapToGrid w:val="0"/>
        <w:spacing w:after="0" w:line="240" w:lineRule="auto"/>
        <w:jc w:val="center"/>
        <w:rPr>
          <w:szCs w:val="24"/>
        </w:rPr>
      </w:pPr>
      <w:proofErr w:type="spellStart"/>
      <w:r w:rsidRPr="00990FF6">
        <w:rPr>
          <w:rFonts w:hint="eastAsia"/>
          <w:szCs w:val="24"/>
        </w:rPr>
        <w:t>Zhi</w:t>
      </w:r>
      <w:r>
        <w:rPr>
          <w:szCs w:val="24"/>
        </w:rPr>
        <w:t>hong</w:t>
      </w:r>
      <w:proofErr w:type="spellEnd"/>
      <w:r>
        <w:rPr>
          <w:szCs w:val="24"/>
        </w:rPr>
        <w:t xml:space="preserve"> </w:t>
      </w:r>
      <w:r w:rsidRPr="00990FF6">
        <w:rPr>
          <w:rFonts w:hint="eastAsia"/>
          <w:szCs w:val="24"/>
        </w:rPr>
        <w:t>Li</w:t>
      </w:r>
      <w:r w:rsidR="004E4DF6">
        <w:rPr>
          <w:szCs w:val="24"/>
        </w:rPr>
        <w:t xml:space="preserve"> </w:t>
      </w:r>
      <w:proofErr w:type="gramStart"/>
      <w:r w:rsidR="004E4DF6">
        <w:rPr>
          <w:szCs w:val="24"/>
          <w:vertAlign w:val="superscript"/>
        </w:rPr>
        <w:t>3,</w:t>
      </w:r>
      <w:r w:rsidR="004E4DF6" w:rsidRPr="00170C78">
        <w:rPr>
          <w:szCs w:val="24"/>
        </w:rPr>
        <w:t>*</w:t>
      </w:r>
      <w:proofErr w:type="gramEnd"/>
    </w:p>
    <w:p w14:paraId="458E6305" w14:textId="77777777" w:rsidR="00096F80" w:rsidRPr="00CF7E52" w:rsidRDefault="00096F80" w:rsidP="00096F80">
      <w:pPr>
        <w:adjustRightInd w:val="0"/>
        <w:snapToGrid w:val="0"/>
        <w:spacing w:after="0" w:line="240" w:lineRule="auto"/>
        <w:jc w:val="both"/>
        <w:rPr>
          <w:sz w:val="20"/>
          <w:szCs w:val="20"/>
        </w:rPr>
      </w:pPr>
      <w:r w:rsidRPr="00CF7E52">
        <w:rPr>
          <w:sz w:val="20"/>
          <w:szCs w:val="20"/>
        </w:rPr>
        <w:t>_____________________</w:t>
      </w:r>
    </w:p>
    <w:p w14:paraId="02799FB8" w14:textId="77777777" w:rsidR="00096F80" w:rsidRDefault="00096F80" w:rsidP="00096F80">
      <w:pPr>
        <w:adjustRightInd w:val="0"/>
        <w:snapToGrid w:val="0"/>
        <w:spacing w:after="0" w:line="240" w:lineRule="auto"/>
        <w:jc w:val="both"/>
        <w:rPr>
          <w:sz w:val="20"/>
          <w:szCs w:val="20"/>
        </w:rPr>
      </w:pPr>
      <w:r w:rsidRPr="00CF7E52">
        <w:rPr>
          <w:sz w:val="20"/>
          <w:szCs w:val="20"/>
        </w:rPr>
        <w:t>*Corresponding author</w:t>
      </w:r>
    </w:p>
    <w:p w14:paraId="154E5B89" w14:textId="7A1A648B" w:rsidR="00096F80" w:rsidRPr="00CF7E52" w:rsidRDefault="00096F80" w:rsidP="00096F80">
      <w:pPr>
        <w:adjustRightInd w:val="0"/>
        <w:snapToGrid w:val="0"/>
        <w:spacing w:after="0" w:line="240" w:lineRule="auto"/>
        <w:jc w:val="both"/>
        <w:rPr>
          <w:sz w:val="20"/>
          <w:szCs w:val="20"/>
        </w:rPr>
      </w:pPr>
      <w:r>
        <w:rPr>
          <w:sz w:val="20"/>
          <w:szCs w:val="20"/>
          <w:vertAlign w:val="superscript"/>
        </w:rPr>
        <w:t xml:space="preserve">1 </w:t>
      </w:r>
      <w:r w:rsidRPr="007F37D4">
        <w:rPr>
          <w:sz w:val="20"/>
          <w:szCs w:val="20"/>
        </w:rPr>
        <w:t>Associate professor, South China University of Technology, China, bmxyxu@scut.edu.cn</w:t>
      </w:r>
    </w:p>
    <w:p w14:paraId="0EF114B6" w14:textId="2917F84B" w:rsidR="00096F80" w:rsidRDefault="00096F80" w:rsidP="00096F80">
      <w:pPr>
        <w:adjustRightInd w:val="0"/>
        <w:snapToGrid w:val="0"/>
        <w:spacing w:after="0" w:line="240" w:lineRule="auto"/>
        <w:jc w:val="both"/>
        <w:rPr>
          <w:sz w:val="20"/>
          <w:szCs w:val="20"/>
        </w:rPr>
      </w:pPr>
      <w:r>
        <w:rPr>
          <w:sz w:val="20"/>
          <w:szCs w:val="20"/>
          <w:vertAlign w:val="superscript"/>
        </w:rPr>
        <w:t>2</w:t>
      </w:r>
      <w:r w:rsidRPr="00B9550D">
        <w:rPr>
          <w:sz w:val="20"/>
          <w:szCs w:val="20"/>
        </w:rPr>
        <w:t xml:space="preserve"> </w:t>
      </w:r>
      <w:r w:rsidRPr="007F37D4">
        <w:rPr>
          <w:sz w:val="20"/>
          <w:szCs w:val="20"/>
        </w:rPr>
        <w:t xml:space="preserve">Postgraduate, South China University of Technology, China, </w:t>
      </w:r>
      <w:r>
        <w:rPr>
          <w:rFonts w:hint="eastAsia"/>
          <w:sz w:val="20"/>
          <w:szCs w:val="20"/>
          <w:lang w:eastAsia="zh-CN"/>
        </w:rPr>
        <w:t>tianwei</w:t>
      </w:r>
      <w:r>
        <w:rPr>
          <w:sz w:val="20"/>
          <w:szCs w:val="20"/>
          <w:lang w:eastAsia="zh-CN"/>
        </w:rPr>
        <w:t>1182000@</w:t>
      </w:r>
      <w:r>
        <w:rPr>
          <w:rFonts w:hint="eastAsia"/>
          <w:sz w:val="20"/>
          <w:szCs w:val="20"/>
          <w:lang w:eastAsia="zh-CN"/>
        </w:rPr>
        <w:t>live</w:t>
      </w:r>
      <w:r w:rsidRPr="007F37D4">
        <w:rPr>
          <w:sz w:val="20"/>
          <w:szCs w:val="20"/>
        </w:rPr>
        <w:t>.com</w:t>
      </w:r>
    </w:p>
    <w:p w14:paraId="294555E8" w14:textId="07A18480" w:rsidR="00096F80" w:rsidRPr="00096F80" w:rsidRDefault="00096F80" w:rsidP="00096F80">
      <w:pPr>
        <w:adjustRightInd w:val="0"/>
        <w:snapToGrid w:val="0"/>
        <w:spacing w:after="0" w:line="240" w:lineRule="auto"/>
        <w:jc w:val="both"/>
        <w:rPr>
          <w:sz w:val="20"/>
          <w:szCs w:val="20"/>
        </w:rPr>
      </w:pPr>
      <w:r>
        <w:rPr>
          <w:sz w:val="20"/>
          <w:szCs w:val="20"/>
          <w:vertAlign w:val="superscript"/>
        </w:rPr>
        <w:t xml:space="preserve">3 </w:t>
      </w:r>
      <w:r w:rsidR="003207CE" w:rsidRPr="003207CE">
        <w:rPr>
          <w:rFonts w:hint="eastAsia"/>
          <w:sz w:val="20"/>
          <w:szCs w:val="20"/>
        </w:rPr>
        <w:t>P</w:t>
      </w:r>
      <w:r w:rsidRPr="007F37D4">
        <w:rPr>
          <w:sz w:val="20"/>
          <w:szCs w:val="20"/>
        </w:rPr>
        <w:t>rofessor, South China University of Technology, China, bm</w:t>
      </w:r>
      <w:r w:rsidR="003207CE">
        <w:rPr>
          <w:sz w:val="20"/>
          <w:szCs w:val="20"/>
        </w:rPr>
        <w:t>zhhli</w:t>
      </w:r>
      <w:r w:rsidRPr="007F37D4">
        <w:rPr>
          <w:sz w:val="20"/>
          <w:szCs w:val="20"/>
        </w:rPr>
        <w:t>@scut.edu.cn</w:t>
      </w:r>
    </w:p>
    <w:bookmarkEnd w:id="0"/>
    <w:p w14:paraId="2D08FA01" w14:textId="77777777" w:rsidR="004452A0" w:rsidRPr="00B9550D" w:rsidRDefault="004452A0" w:rsidP="004452A0">
      <w:pPr>
        <w:adjustRightInd w:val="0"/>
        <w:snapToGrid w:val="0"/>
        <w:spacing w:after="0" w:line="240" w:lineRule="auto"/>
        <w:jc w:val="both"/>
        <w:rPr>
          <w:sz w:val="20"/>
          <w:szCs w:val="20"/>
        </w:rPr>
      </w:pPr>
    </w:p>
    <w:p w14:paraId="4C6BBB20" w14:textId="77777777" w:rsidR="004452A0" w:rsidRPr="00254C01" w:rsidRDefault="004452A0" w:rsidP="004452A0">
      <w:pPr>
        <w:adjustRightInd w:val="0"/>
        <w:snapToGrid w:val="0"/>
        <w:spacing w:after="0" w:line="240" w:lineRule="auto"/>
        <w:jc w:val="center"/>
        <w:rPr>
          <w:rFonts w:eastAsia="DFKai-SB"/>
          <w:b/>
          <w:caps/>
          <w:sz w:val="20"/>
          <w:szCs w:val="20"/>
        </w:rPr>
      </w:pPr>
      <w:r w:rsidRPr="00254C01">
        <w:rPr>
          <w:rFonts w:eastAsia="DFKai-SB"/>
          <w:b/>
          <w:caps/>
          <w:sz w:val="20"/>
          <w:szCs w:val="20"/>
        </w:rPr>
        <w:t>ABSTRACT</w:t>
      </w:r>
    </w:p>
    <w:p w14:paraId="5BF68E65" w14:textId="77777777" w:rsidR="004452A0" w:rsidRPr="00692EC9" w:rsidRDefault="004452A0" w:rsidP="004452A0">
      <w:pPr>
        <w:adjustRightInd w:val="0"/>
        <w:snapToGrid w:val="0"/>
        <w:spacing w:after="0" w:line="240" w:lineRule="auto"/>
        <w:jc w:val="both"/>
        <w:rPr>
          <w:sz w:val="20"/>
          <w:szCs w:val="20"/>
        </w:rPr>
      </w:pPr>
      <w:r>
        <w:rPr>
          <w:rFonts w:eastAsia="DFKai-SB"/>
          <w:bCs/>
          <w:sz w:val="20"/>
          <w:szCs w:val="20"/>
        </w:rPr>
        <w:t>Spam has caused serious problems for email systems. To address this issue, numerous spam filter algorithms have been developed, all of which require extensive training on labeled spam datasets to obtain the desired filter performance.</w:t>
      </w:r>
      <w:r w:rsidRPr="00C70430">
        <w:rPr>
          <w:bCs/>
          <w:sz w:val="20"/>
          <w:szCs w:val="20"/>
        </w:rPr>
        <w:t xml:space="preserve"> </w:t>
      </w:r>
      <w:r>
        <w:rPr>
          <w:bCs/>
          <w:sz w:val="20"/>
          <w:szCs w:val="20"/>
        </w:rPr>
        <w:t xml:space="preserve">However, users' privacy concerns and </w:t>
      </w:r>
      <w:bookmarkStart w:id="1" w:name="OLE_LINK13"/>
      <w:r>
        <w:rPr>
          <w:bCs/>
          <w:sz w:val="20"/>
          <w:szCs w:val="20"/>
        </w:rPr>
        <w:t>apathy</w:t>
      </w:r>
      <w:bookmarkEnd w:id="1"/>
      <w:r>
        <w:rPr>
          <w:bCs/>
          <w:sz w:val="20"/>
          <w:szCs w:val="20"/>
        </w:rPr>
        <w:t xml:space="preserve"> make it difficult to acquire personalized spam data in real-world applications. When it comes to enterprise email systems, the problem worsens because enterprises are extremely sensitive to the possible disclosure of confidential information during the reporting of spam to the cloud.</w:t>
      </w:r>
      <w:r w:rsidRPr="00C70430">
        <w:rPr>
          <w:bCs/>
          <w:sz w:val="20"/>
          <w:szCs w:val="20"/>
        </w:rPr>
        <w:t xml:space="preserve"> </w:t>
      </w:r>
      <w:r>
        <w:rPr>
          <w:bCs/>
          <w:sz w:val="20"/>
          <w:szCs w:val="20"/>
        </w:rPr>
        <w:t>Targeting these obstacles</w:t>
      </w:r>
      <w:r w:rsidRPr="00C70430">
        <w:rPr>
          <w:bCs/>
          <w:sz w:val="20"/>
          <w:szCs w:val="20"/>
        </w:rPr>
        <w:t xml:space="preserve">, this study </w:t>
      </w:r>
      <w:r>
        <w:rPr>
          <w:bCs/>
          <w:sz w:val="20"/>
          <w:szCs w:val="20"/>
        </w:rPr>
        <w:t>proposes</w:t>
      </w:r>
      <w:r w:rsidRPr="00C70430">
        <w:rPr>
          <w:bCs/>
          <w:sz w:val="20"/>
          <w:szCs w:val="20"/>
        </w:rPr>
        <w:t xml:space="preserve"> a blockchain-based token incentive mechanism</w:t>
      </w:r>
      <w:r>
        <w:rPr>
          <w:bCs/>
          <w:sz w:val="20"/>
          <w:szCs w:val="20"/>
        </w:rPr>
        <w:t>, with the aim of</w:t>
      </w:r>
      <w:r w:rsidRPr="00C70430">
        <w:rPr>
          <w:bCs/>
          <w:sz w:val="20"/>
          <w:szCs w:val="20"/>
        </w:rPr>
        <w:t xml:space="preserve"> encourag</w:t>
      </w:r>
      <w:r>
        <w:rPr>
          <w:bCs/>
          <w:sz w:val="20"/>
          <w:szCs w:val="20"/>
        </w:rPr>
        <w:t>ing</w:t>
      </w:r>
      <w:r w:rsidRPr="00C70430">
        <w:rPr>
          <w:bCs/>
          <w:sz w:val="20"/>
          <w:szCs w:val="20"/>
        </w:rPr>
        <w:t xml:space="preserve"> users to report spam while protecting business secrets and ensuring the </w:t>
      </w:r>
      <w:r>
        <w:rPr>
          <w:bCs/>
          <w:sz w:val="20"/>
          <w:szCs w:val="20"/>
        </w:rPr>
        <w:t>transparency</w:t>
      </w:r>
      <w:r w:rsidRPr="00C70430">
        <w:rPr>
          <w:bCs/>
          <w:sz w:val="20"/>
          <w:szCs w:val="20"/>
        </w:rPr>
        <w:t xml:space="preserve"> of reward rules.</w:t>
      </w:r>
      <w:r w:rsidRPr="00C70430">
        <w:rPr>
          <w:sz w:val="20"/>
          <w:szCs w:val="20"/>
        </w:rPr>
        <w:t xml:space="preserve"> </w:t>
      </w:r>
      <w:r>
        <w:rPr>
          <w:sz w:val="20"/>
          <w:szCs w:val="20"/>
        </w:rPr>
        <w:t>T</w:t>
      </w:r>
      <w:r w:rsidRPr="00C70430">
        <w:rPr>
          <w:sz w:val="20"/>
          <w:szCs w:val="20"/>
        </w:rPr>
        <w:t>he</w:t>
      </w:r>
      <w:r>
        <w:rPr>
          <w:sz w:val="20"/>
          <w:szCs w:val="20"/>
        </w:rPr>
        <w:t xml:space="preserve"> proposed</w:t>
      </w:r>
      <w:r w:rsidRPr="00C70430">
        <w:rPr>
          <w:sz w:val="20"/>
          <w:szCs w:val="20"/>
        </w:rPr>
        <w:t xml:space="preserve"> mechanism</w:t>
      </w:r>
      <w:r>
        <w:rPr>
          <w:sz w:val="20"/>
          <w:szCs w:val="20"/>
        </w:rPr>
        <w:t xml:space="preserve"> also enables a decentralized ecosystem for token c</w:t>
      </w:r>
      <w:r w:rsidRPr="00A32CD5">
        <w:rPr>
          <w:sz w:val="20"/>
          <w:szCs w:val="20"/>
        </w:rPr>
        <w:t>irculati</w:t>
      </w:r>
      <w:r>
        <w:rPr>
          <w:sz w:val="20"/>
          <w:szCs w:val="20"/>
        </w:rPr>
        <w:t>on, fully utilizing the advantages of blockchain technologies.</w:t>
      </w:r>
      <w:r w:rsidRPr="00C70430">
        <w:rPr>
          <w:bCs/>
          <w:sz w:val="20"/>
          <w:szCs w:val="20"/>
        </w:rPr>
        <w:t xml:space="preserve"> </w:t>
      </w:r>
      <w:r>
        <w:rPr>
          <w:bCs/>
          <w:sz w:val="20"/>
          <w:szCs w:val="20"/>
        </w:rPr>
        <w:t xml:space="preserve">We developed a prototype of the </w:t>
      </w:r>
      <w:r>
        <w:rPr>
          <w:sz w:val="20"/>
          <w:szCs w:val="20"/>
        </w:rPr>
        <w:t>proposed</w:t>
      </w:r>
      <w:r>
        <w:rPr>
          <w:bCs/>
          <w:sz w:val="20"/>
          <w:szCs w:val="20"/>
        </w:rPr>
        <w:t xml:space="preserve"> system, on which we conducted a user experiment to verify our design. Results indicate that</w:t>
      </w:r>
      <w:r w:rsidRPr="00C70430">
        <w:rPr>
          <w:bCs/>
          <w:sz w:val="20"/>
          <w:szCs w:val="20"/>
        </w:rPr>
        <w:t xml:space="preserve"> the proposed incentive mechanism</w:t>
      </w:r>
      <w:r>
        <w:rPr>
          <w:bCs/>
          <w:sz w:val="20"/>
          <w:szCs w:val="20"/>
        </w:rPr>
        <w:t xml:space="preserve"> is effective and</w:t>
      </w:r>
      <w:r w:rsidRPr="00C70430">
        <w:rPr>
          <w:bCs/>
          <w:sz w:val="20"/>
          <w:szCs w:val="20"/>
        </w:rPr>
        <w:t xml:space="preserve"> can raise the probability of spam reporting by </w:t>
      </w:r>
      <w:r>
        <w:rPr>
          <w:bCs/>
          <w:sz w:val="20"/>
          <w:szCs w:val="20"/>
        </w:rPr>
        <w:t xml:space="preserve">more than </w:t>
      </w:r>
      <w:r w:rsidRPr="00C70430">
        <w:rPr>
          <w:bCs/>
          <w:sz w:val="20"/>
          <w:szCs w:val="20"/>
        </w:rPr>
        <w:t>1.4 times</w:t>
      </w:r>
      <w:r>
        <w:rPr>
          <w:bCs/>
          <w:sz w:val="20"/>
          <w:szCs w:val="20"/>
        </w:rPr>
        <w:t>.</w:t>
      </w:r>
    </w:p>
    <w:p w14:paraId="1CC19561" w14:textId="77777777" w:rsidR="004452A0" w:rsidRPr="00C70430" w:rsidRDefault="004452A0" w:rsidP="004452A0">
      <w:pPr>
        <w:adjustRightInd w:val="0"/>
        <w:snapToGrid w:val="0"/>
        <w:spacing w:after="0" w:line="240" w:lineRule="auto"/>
        <w:jc w:val="both"/>
        <w:rPr>
          <w:bCs/>
          <w:sz w:val="20"/>
          <w:szCs w:val="20"/>
        </w:rPr>
      </w:pPr>
    </w:p>
    <w:p w14:paraId="498C782A" w14:textId="77777777" w:rsidR="004452A0" w:rsidRDefault="004452A0" w:rsidP="004452A0">
      <w:pPr>
        <w:adjustRightInd w:val="0"/>
        <w:snapToGrid w:val="0"/>
        <w:spacing w:after="0" w:line="240" w:lineRule="auto"/>
        <w:jc w:val="both"/>
        <w:rPr>
          <w:sz w:val="20"/>
          <w:szCs w:val="20"/>
          <w:lang w:eastAsia="zh-CN"/>
        </w:rPr>
      </w:pPr>
      <w:r w:rsidRPr="00CF7E52">
        <w:rPr>
          <w:i/>
          <w:sz w:val="20"/>
          <w:szCs w:val="20"/>
        </w:rPr>
        <w:t>Keywords</w:t>
      </w:r>
      <w:r w:rsidRPr="00CF7E52">
        <w:rPr>
          <w:sz w:val="20"/>
          <w:szCs w:val="20"/>
        </w:rPr>
        <w:t xml:space="preserve">:  </w:t>
      </w:r>
      <w:bookmarkStart w:id="2" w:name="OLE_LINK28"/>
      <w:r w:rsidRPr="00C70430">
        <w:rPr>
          <w:sz w:val="20"/>
          <w:szCs w:val="20"/>
        </w:rPr>
        <w:t>Spam Filtering; Blockchain; Token Incentive</w:t>
      </w:r>
      <w:r>
        <w:rPr>
          <w:sz w:val="20"/>
          <w:szCs w:val="20"/>
        </w:rPr>
        <w:t>s</w:t>
      </w:r>
      <w:r w:rsidRPr="00C70430">
        <w:rPr>
          <w:sz w:val="20"/>
          <w:szCs w:val="20"/>
        </w:rPr>
        <w:t>; User experiment.</w:t>
      </w:r>
    </w:p>
    <w:bookmarkEnd w:id="2"/>
    <w:p w14:paraId="2CEAB980" w14:textId="77777777" w:rsidR="004452A0" w:rsidRPr="00CF7E52" w:rsidRDefault="004452A0" w:rsidP="004452A0">
      <w:pPr>
        <w:adjustRightInd w:val="0"/>
        <w:snapToGrid w:val="0"/>
        <w:spacing w:after="0" w:line="240" w:lineRule="auto"/>
        <w:jc w:val="both"/>
        <w:rPr>
          <w:sz w:val="20"/>
          <w:szCs w:val="20"/>
        </w:rPr>
      </w:pPr>
    </w:p>
    <w:p w14:paraId="43DB3FF6" w14:textId="77777777" w:rsidR="004452A0" w:rsidRPr="00254C01" w:rsidRDefault="004452A0" w:rsidP="004452A0">
      <w:pPr>
        <w:adjustRightInd w:val="0"/>
        <w:snapToGrid w:val="0"/>
        <w:spacing w:after="0" w:line="240" w:lineRule="auto"/>
        <w:jc w:val="center"/>
        <w:rPr>
          <w:b/>
          <w:caps/>
          <w:sz w:val="20"/>
          <w:szCs w:val="20"/>
        </w:rPr>
      </w:pPr>
      <w:r>
        <w:rPr>
          <w:rFonts w:eastAsia="DFKai-SB"/>
          <w:b/>
          <w:caps/>
          <w:sz w:val="20"/>
          <w:szCs w:val="20"/>
        </w:rPr>
        <w:t>Introduction</w:t>
      </w:r>
    </w:p>
    <w:p w14:paraId="4D319FC0" w14:textId="77777777" w:rsidR="004452A0" w:rsidRPr="00DE7639"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t xml:space="preserve">Spam is a serious concern for email systems. According to the Spam and Phishing Analysis Report published by Kaspersky, 45.47% of global email traffic in the third quarter of 2021 was spam. Situation becomes even worse in the email systems of large organizations and enterprises, due to the public nature of their email addresses </w:t>
      </w:r>
      <w:r>
        <w:rPr>
          <w:rFonts w:eastAsia="DFKai-SB"/>
          <w:bCs/>
          <w:sz w:val="20"/>
          <w:szCs w:val="20"/>
        </w:rPr>
        <w:fldChar w:fldCharType="begin"/>
      </w:r>
      <w:r>
        <w:rPr>
          <w:rFonts w:eastAsia="DFKai-SB"/>
          <w:bCs/>
          <w:sz w:val="20"/>
          <w:szCs w:val="20"/>
        </w:rPr>
        <w:instrText xml:space="preserve"> ADDIN ZOTERO_ITEM CSL_CITATION {"citationID":"akjolce47v","properties":{"formattedCitation":"(Lee &amp; Chang, 2021; Wood &amp; Krasowski, 2020)","plainCitation":"(Lee &amp; Chang, 2021; Wood &amp; Krasowski, 2020)","noteIndex":0},"citationItems":[{"id":574,"uris":["http://zotero.org/users/8646247/items/9TGIEFAB"],"itemData":{"id":574,"type":"article-journal","abstract":"A Study on the Effectiveness of Secure Responses to Malicious E-mail - Malicious mail;Security awareness;Security education;Training;Social engineering attack","container-title":"Journal of Platform Technology","ISSN":"2289-0181","issue":"2","language":"kr","note":"publisher: ICT Platform Society","page":"26-37","source":"www-kci-go-kr-s.vpn.hhu.edu.cn:8118","title":"A Study on the Effectiveness of Secure Responses to Malicious E-mail","volume":"9","author":[{"family":"Lee","given":"Taewoo"},{"family":"Chang","given":"Hangbae"}],"issued":{"date-parts":[["2021"]]},"citation-key":"leeStudyEffectivenessSecure2021"}},{"id":579,"uris":["http://zotero.org/users/8646247/items/H6UIH2BE"],"itemData":{"id":579,"type":"article-journal","abstract":"This article presents an editorial perspective on the challenges associated with e-mail management for academic physicians. We include 2-week analysis of our own e-mails as illustrations of the e-mail volume and content. We discuss the contributors to high e-mail volumes, focusing especially on unsolicited e-mails from medical/scientific conferences and open-access journals (sometimes termed “academic spam emails”), as these e-mails comprise a significant volume and are targeted to physicians and scientists. Our 2-person sample is consistent with studies showing that journals that use mass e-mail advertising have low rates of inclusion in recognized journal databases/resources. Strategies for managing e-mail are discussed and include unsubscribing, blocking senders or domains, filtering e-mails, managing one’s inbox, limiting e-mail access, and e-mail etiquette. Academic institutions should focus on decreasing the volume of unsolicited e-mails, fostering tools to manage e-mail overload, and educating physicians including trainees about e-mail practices, predatory journals, and scholarly database/resources.","container-title":"Academic Pathology","DOI":"10.1177/2374289519898858","ISSN":"2374-2895","journalAbbreviation":"Academic Pathology","language":"en","note":"publisher: SAGE Publications Inc","page":"2374289519898858","source":"SAGE Journals","title":"Academic E-Mail Overload and the Burden of “Academic Spam”","volume":"7","author":[{"family":"Wood","given":"Kelly E."},{"family":"Krasowski","given":"Matthew D."}],"issued":{"date-parts":[["2020",1,1]]},"citation-key":"woodAcademicEMailOverload2020"}}],"schema":"https://github.com/citation-style-language/schema/raw/master/csl-citation.json"} </w:instrText>
      </w:r>
      <w:r>
        <w:rPr>
          <w:rFonts w:eastAsia="DFKai-SB"/>
          <w:bCs/>
          <w:sz w:val="20"/>
          <w:szCs w:val="20"/>
        </w:rPr>
        <w:fldChar w:fldCharType="separate"/>
      </w:r>
      <w:r>
        <w:rPr>
          <w:sz w:val="20"/>
        </w:rPr>
        <w:t>(Lee &amp; Chang, 2021; Wood &amp; Krasowski, 2020)</w:t>
      </w:r>
      <w:r>
        <w:rPr>
          <w:rFonts w:eastAsia="DFKai-SB"/>
          <w:bCs/>
          <w:sz w:val="20"/>
          <w:szCs w:val="20"/>
        </w:rPr>
        <w:fldChar w:fldCharType="end"/>
      </w:r>
      <w:r w:rsidRPr="00DE7639">
        <w:rPr>
          <w:rFonts w:eastAsia="DFKai-SB"/>
          <w:bCs/>
          <w:sz w:val="20"/>
          <w:szCs w:val="20"/>
        </w:rPr>
        <w:t xml:space="preserve">. According to the </w:t>
      </w:r>
      <w:proofErr w:type="spellStart"/>
      <w:r w:rsidRPr="00DE7639">
        <w:rPr>
          <w:rFonts w:eastAsia="DFKai-SB"/>
          <w:bCs/>
          <w:sz w:val="20"/>
          <w:szCs w:val="20"/>
        </w:rPr>
        <w:t>Coremail</w:t>
      </w:r>
      <w:proofErr w:type="spellEnd"/>
      <w:r w:rsidRPr="00DE7639">
        <w:rPr>
          <w:rFonts w:eastAsia="DFKai-SB"/>
          <w:bCs/>
          <w:sz w:val="20"/>
          <w:szCs w:val="20"/>
        </w:rPr>
        <w:t xml:space="preserve"> Enterprise Email Security Report, the number of spam emails identified in enterprises reached 760 million in the fourth quarter of 2021, and the total number of phishing emails increased by 95.43% year-on-year. Obviously, anti-spam is of great practical significance, and many email service providers are developing automatic spam filtering algorithms.</w:t>
      </w:r>
    </w:p>
    <w:p w14:paraId="03CA6B5C" w14:textId="77777777" w:rsidR="004452A0" w:rsidRPr="00DE7639" w:rsidRDefault="004452A0" w:rsidP="004452A0">
      <w:pPr>
        <w:adjustRightInd w:val="0"/>
        <w:snapToGrid w:val="0"/>
        <w:spacing w:after="0" w:line="240" w:lineRule="auto"/>
        <w:jc w:val="both"/>
        <w:rPr>
          <w:rFonts w:eastAsia="DFKai-SB"/>
          <w:bCs/>
          <w:sz w:val="20"/>
          <w:szCs w:val="20"/>
        </w:rPr>
      </w:pPr>
    </w:p>
    <w:p w14:paraId="07855D66" w14:textId="77777777" w:rsidR="004452A0" w:rsidRPr="00DE7639"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t>Spam filtering algorithm can identify and filter spams on basis of training on a large scale of labeled spam datasets but collecting training data is difficult. Many filtering algorithms are reported to reach high accuracy on the open spam dataset for testing purposes (</w:t>
      </w:r>
      <w:proofErr w:type="spellStart"/>
      <w:r w:rsidRPr="00DE7639">
        <w:rPr>
          <w:rFonts w:eastAsia="DFKai-SB"/>
          <w:bCs/>
          <w:sz w:val="20"/>
          <w:szCs w:val="20"/>
        </w:rPr>
        <w:t>Shrivas</w:t>
      </w:r>
      <w:proofErr w:type="spellEnd"/>
      <w:r w:rsidRPr="00DE7639">
        <w:rPr>
          <w:rFonts w:eastAsia="DFKai-SB"/>
          <w:bCs/>
          <w:sz w:val="20"/>
          <w:szCs w:val="20"/>
        </w:rPr>
        <w:t xml:space="preserve"> et al., 2021). When it comes to real applications, however, most spam data is gathered through the traditional method of manually annotating. Furthermore, the strict privacy protection requirements prevent email </w:t>
      </w:r>
      <w:r>
        <w:rPr>
          <w:rFonts w:eastAsia="DFKai-SB"/>
          <w:bCs/>
          <w:sz w:val="20"/>
          <w:szCs w:val="20"/>
        </w:rPr>
        <w:t xml:space="preserve">service </w:t>
      </w:r>
      <w:r w:rsidRPr="00DE7639">
        <w:rPr>
          <w:rFonts w:eastAsia="DFKai-SB"/>
          <w:bCs/>
          <w:sz w:val="20"/>
          <w:szCs w:val="20"/>
        </w:rPr>
        <w:t>providers from accessing their clients' email content. In this situation, it can be difficult to ensure the quality of the spam database because of difficulties such as a lack of regular updates, a huge gap between the data and the real spams received by the user, etc. Even if the filtering algorithm is highly accurate in testing tasks, filtering services often struggle to discover new types of spam in a timely manner, resulting in a significant drop in spam filtering accuracy in real applications.</w:t>
      </w:r>
    </w:p>
    <w:p w14:paraId="225CD5A4" w14:textId="77777777" w:rsidR="004452A0" w:rsidRPr="00DE7639" w:rsidRDefault="004452A0" w:rsidP="004452A0">
      <w:pPr>
        <w:adjustRightInd w:val="0"/>
        <w:snapToGrid w:val="0"/>
        <w:spacing w:after="0" w:line="240" w:lineRule="auto"/>
        <w:jc w:val="both"/>
        <w:rPr>
          <w:rFonts w:eastAsia="DFKai-SB"/>
          <w:bCs/>
          <w:sz w:val="20"/>
          <w:szCs w:val="20"/>
        </w:rPr>
      </w:pPr>
    </w:p>
    <w:p w14:paraId="5E7CC846" w14:textId="77777777" w:rsidR="004452A0" w:rsidRPr="00DE7639"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t>Another method for gathering training data is to ask users to report spams they have received, but the privacy concerns and apathy of users make this method impractical. Especially in enterprise email applications, some enterprise email systems even do not provide users with the feature of reporting spams to the cloud due to the concerns about</w:t>
      </w:r>
      <w:r>
        <w:rPr>
          <w:rFonts w:eastAsia="DFKai-SB"/>
          <w:bCs/>
          <w:sz w:val="20"/>
          <w:szCs w:val="20"/>
        </w:rPr>
        <w:t xml:space="preserve"> the leakage of</w:t>
      </w:r>
      <w:r w:rsidRPr="00DE7639">
        <w:rPr>
          <w:rFonts w:eastAsia="DFKai-SB"/>
          <w:bCs/>
          <w:sz w:val="20"/>
          <w:szCs w:val="20"/>
        </w:rPr>
        <w:t xml:space="preserve"> business secrets. Furthermore, email receivers are not active in reporting spam because there are no obvious incentives to do so. Therefore, a well-design mechanism for encouraging users to report spams under the premise of data security is essential, especially in the enterprise scenarios.</w:t>
      </w:r>
    </w:p>
    <w:p w14:paraId="741BFB25" w14:textId="77777777" w:rsidR="004452A0" w:rsidRPr="00DE7639" w:rsidRDefault="004452A0" w:rsidP="004452A0">
      <w:pPr>
        <w:adjustRightInd w:val="0"/>
        <w:snapToGrid w:val="0"/>
        <w:spacing w:after="0" w:line="240" w:lineRule="auto"/>
        <w:jc w:val="both"/>
        <w:rPr>
          <w:rFonts w:eastAsia="DFKai-SB"/>
          <w:bCs/>
          <w:sz w:val="20"/>
          <w:szCs w:val="20"/>
        </w:rPr>
      </w:pPr>
    </w:p>
    <w:p w14:paraId="707EB2D9" w14:textId="77777777" w:rsidR="004452A0" w:rsidRPr="00DE7639"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t xml:space="preserve">The wide applications of blockchain in a variety of industries inspires us to come up with a novel solution to the </w:t>
      </w:r>
      <w:bookmarkStart w:id="3" w:name="OLE_LINK18"/>
      <w:proofErr w:type="gramStart"/>
      <w:r w:rsidRPr="00DE7639">
        <w:rPr>
          <w:rFonts w:eastAsia="DFKai-SB"/>
          <w:bCs/>
          <w:sz w:val="20"/>
          <w:szCs w:val="20"/>
        </w:rPr>
        <w:t>aforementioned</w:t>
      </w:r>
      <w:bookmarkEnd w:id="3"/>
      <w:r w:rsidRPr="00DE7639">
        <w:rPr>
          <w:rFonts w:eastAsia="DFKai-SB"/>
          <w:bCs/>
          <w:sz w:val="20"/>
          <w:szCs w:val="20"/>
        </w:rPr>
        <w:t xml:space="preserve"> issues</w:t>
      </w:r>
      <w:proofErr w:type="gramEnd"/>
      <w:r w:rsidRPr="00DE7639">
        <w:rPr>
          <w:rFonts w:eastAsia="DFKai-SB"/>
          <w:bCs/>
          <w:sz w:val="20"/>
          <w:szCs w:val="20"/>
        </w:rPr>
        <w:t xml:space="preserve"> by developing an anti-spam ecosystem with user participation. The successful adoption of blockchain-based token incentive mechanisms in decentralized autonomous organizations (DAOs) like </w:t>
      </w:r>
      <w:proofErr w:type="spellStart"/>
      <w:r w:rsidRPr="00DE7639">
        <w:rPr>
          <w:rFonts w:eastAsia="DFKai-SB"/>
          <w:bCs/>
          <w:sz w:val="20"/>
          <w:szCs w:val="20"/>
        </w:rPr>
        <w:t>Steemit</w:t>
      </w:r>
      <w:proofErr w:type="spellEnd"/>
      <w:r w:rsidRPr="00DE7639">
        <w:rPr>
          <w:rFonts w:eastAsia="DFKai-SB"/>
          <w:bCs/>
          <w:sz w:val="20"/>
          <w:szCs w:val="20"/>
        </w:rPr>
        <w:t xml:space="preserve"> and other blockchain-empowered communities have demonstrated their enormous potentials. As a typical example, the tokens (</w:t>
      </w:r>
      <w:proofErr w:type="spellStart"/>
      <w:r w:rsidRPr="00DE7639">
        <w:rPr>
          <w:rFonts w:eastAsia="DFKai-SB"/>
          <w:bCs/>
          <w:sz w:val="20"/>
          <w:szCs w:val="20"/>
        </w:rPr>
        <w:t>Steem</w:t>
      </w:r>
      <w:proofErr w:type="spellEnd"/>
      <w:r w:rsidRPr="00DE7639">
        <w:rPr>
          <w:rFonts w:eastAsia="DFKai-SB"/>
          <w:bCs/>
          <w:sz w:val="20"/>
          <w:szCs w:val="20"/>
        </w:rPr>
        <w:t xml:space="preserve">) issued by </w:t>
      </w:r>
      <w:proofErr w:type="spellStart"/>
      <w:r w:rsidRPr="00DE7639">
        <w:rPr>
          <w:rFonts w:eastAsia="DFKai-SB"/>
          <w:bCs/>
          <w:sz w:val="20"/>
          <w:szCs w:val="20"/>
        </w:rPr>
        <w:t>Steemit</w:t>
      </w:r>
      <w:proofErr w:type="spellEnd"/>
      <w:r w:rsidRPr="00DE7639">
        <w:rPr>
          <w:rFonts w:eastAsia="DFKai-SB"/>
          <w:bCs/>
          <w:sz w:val="20"/>
          <w:szCs w:val="20"/>
        </w:rPr>
        <w:t xml:space="preserve"> have a total market value of more than 88 million dollars (September 2022). Most of these tokens are used to reward their users for posting or discovering high-quality content, hence boosting user engagement. Moreover, the decentralized nature of blockchain facilitates the resolution of the trust problem, thereby ensuring the security of users' digital assets on the blockchain platform.</w:t>
      </w:r>
    </w:p>
    <w:p w14:paraId="47A02B23" w14:textId="77777777" w:rsidR="004452A0" w:rsidRPr="00DE7639" w:rsidRDefault="004452A0" w:rsidP="004452A0">
      <w:pPr>
        <w:adjustRightInd w:val="0"/>
        <w:snapToGrid w:val="0"/>
        <w:spacing w:after="0" w:line="240" w:lineRule="auto"/>
        <w:jc w:val="both"/>
        <w:rPr>
          <w:rFonts w:eastAsia="DFKai-SB"/>
          <w:bCs/>
          <w:sz w:val="20"/>
          <w:szCs w:val="20"/>
        </w:rPr>
      </w:pPr>
    </w:p>
    <w:p w14:paraId="66A3C4BD" w14:textId="77777777" w:rsidR="004452A0" w:rsidRPr="00DE7639"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lastRenderedPageBreak/>
        <w:t xml:space="preserve">Therefore, this paper proposes a blockchain-based token incentive mechanism to improve spam filtering in real-world applications, specifically enterprise email systems. Utilizing the most recent advancements in blockchain technology, the proposed </w:t>
      </w:r>
      <w:r>
        <w:rPr>
          <w:rFonts w:eastAsia="DFKai-SB"/>
          <w:bCs/>
          <w:sz w:val="20"/>
          <w:szCs w:val="20"/>
        </w:rPr>
        <w:t>design</w:t>
      </w:r>
      <w:r w:rsidRPr="00DE7639">
        <w:rPr>
          <w:rFonts w:eastAsia="DFKai-SB"/>
          <w:bCs/>
          <w:sz w:val="20"/>
          <w:szCs w:val="20"/>
        </w:rPr>
        <w:t xml:space="preserve"> aims to collect more personalized labeled spam data while protecting privacy and business secrets</w:t>
      </w:r>
      <w:r>
        <w:rPr>
          <w:rFonts w:eastAsia="DFKai-SB"/>
          <w:bCs/>
          <w:sz w:val="20"/>
          <w:szCs w:val="20"/>
        </w:rPr>
        <w:t>. Users participating in the proposed mechanism</w:t>
      </w:r>
      <w:proofErr w:type="gramStart"/>
      <w:r>
        <w:rPr>
          <w:rFonts w:eastAsia="DFKai-SB"/>
          <w:bCs/>
          <w:sz w:val="20"/>
          <w:szCs w:val="20"/>
        </w:rPr>
        <w:t>, in particular, can</w:t>
      </w:r>
      <w:proofErr w:type="gramEnd"/>
      <w:r>
        <w:rPr>
          <w:rFonts w:eastAsia="DFKai-SB"/>
          <w:bCs/>
          <w:sz w:val="20"/>
          <w:szCs w:val="20"/>
        </w:rPr>
        <w:t xml:space="preserve"> earn token rewards for reporting spam. Tokens can be used to obtain benefits from enterprises. The enterprises then utilize the tokens they have collected to waive service fees from email service providers. The service providers pay for the fee waiver and receive updated and personalized labeled spam data in return, hence improving filtering performance. We also created a system prototype and conducted a user experiment to assess the effectiveness of our design. The results suggested that the proposed mechanism increased the likelihood of users’ reporting spam by 1.4 times when compared to non-token incentives.</w:t>
      </w:r>
    </w:p>
    <w:p w14:paraId="33BF7D7F" w14:textId="77777777" w:rsidR="004452A0" w:rsidRPr="00FE28BF" w:rsidRDefault="004452A0" w:rsidP="004452A0">
      <w:pPr>
        <w:adjustRightInd w:val="0"/>
        <w:snapToGrid w:val="0"/>
        <w:spacing w:after="0" w:line="240" w:lineRule="auto"/>
        <w:jc w:val="both"/>
        <w:rPr>
          <w:rFonts w:eastAsia="DFKai-SB"/>
          <w:bCs/>
          <w:sz w:val="20"/>
          <w:szCs w:val="20"/>
        </w:rPr>
      </w:pPr>
    </w:p>
    <w:p w14:paraId="543E4E1F" w14:textId="77777777" w:rsidR="004452A0" w:rsidRDefault="004452A0" w:rsidP="004452A0">
      <w:pPr>
        <w:adjustRightInd w:val="0"/>
        <w:snapToGrid w:val="0"/>
        <w:spacing w:after="0" w:line="240" w:lineRule="auto"/>
        <w:jc w:val="both"/>
        <w:rPr>
          <w:rFonts w:eastAsia="DFKai-SB"/>
          <w:bCs/>
          <w:sz w:val="20"/>
          <w:szCs w:val="20"/>
        </w:rPr>
      </w:pPr>
      <w:r w:rsidRPr="00DE7639">
        <w:rPr>
          <w:rFonts w:eastAsia="DFKai-SB"/>
          <w:bCs/>
          <w:sz w:val="20"/>
          <w:szCs w:val="20"/>
        </w:rPr>
        <w:t>Following are the originality and contributions of our work: (1) We propose a novel solution to the problem of email spam using a blockchain-based incentive mechanism that focuses more on training data than on the filtering algorithm. (2) We contribute to the existing literature on blockchain applications by utilizing the decentralization property of blockchain to the scenario of enterprise email systems. (3) We construct a prototype of the proposed enterprise email system and conduct</w:t>
      </w:r>
      <w:r>
        <w:rPr>
          <w:rFonts w:eastAsia="DFKai-SB"/>
          <w:bCs/>
          <w:sz w:val="20"/>
          <w:szCs w:val="20"/>
        </w:rPr>
        <w:t xml:space="preserve"> a</w:t>
      </w:r>
      <w:r w:rsidRPr="00DE7639">
        <w:rPr>
          <w:rFonts w:eastAsia="DFKai-SB"/>
          <w:bCs/>
          <w:sz w:val="20"/>
          <w:szCs w:val="20"/>
        </w:rPr>
        <w:t xml:space="preserve"> user experiment to </w:t>
      </w:r>
      <w:bookmarkStart w:id="4" w:name="OLE_LINK623"/>
      <w:r w:rsidRPr="00DE7639">
        <w:rPr>
          <w:rFonts w:eastAsia="DFKai-SB"/>
          <w:bCs/>
          <w:sz w:val="20"/>
          <w:szCs w:val="20"/>
        </w:rPr>
        <w:t>evaluate</w:t>
      </w:r>
      <w:bookmarkEnd w:id="4"/>
      <w:r w:rsidRPr="00DE7639">
        <w:rPr>
          <w:rFonts w:eastAsia="DFKai-SB"/>
          <w:bCs/>
          <w:sz w:val="20"/>
          <w:szCs w:val="20"/>
        </w:rPr>
        <w:t xml:space="preserve"> the </w:t>
      </w:r>
      <w:bookmarkStart w:id="5" w:name="_Hlk113622324"/>
      <w:r w:rsidRPr="00DE7639">
        <w:rPr>
          <w:rFonts w:eastAsia="DFKai-SB"/>
          <w:bCs/>
          <w:sz w:val="20"/>
          <w:szCs w:val="20"/>
        </w:rPr>
        <w:t>efficacy of our design</w:t>
      </w:r>
      <w:bookmarkEnd w:id="5"/>
      <w:r w:rsidRPr="00DE7639">
        <w:rPr>
          <w:rFonts w:eastAsia="DFKai-SB"/>
          <w:bCs/>
          <w:sz w:val="20"/>
          <w:szCs w:val="20"/>
        </w:rPr>
        <w:t xml:space="preserve">, with </w:t>
      </w:r>
      <w:bookmarkStart w:id="6" w:name="OLE_LINK21"/>
      <w:r w:rsidRPr="00DE7639">
        <w:rPr>
          <w:rFonts w:eastAsia="DFKai-SB"/>
          <w:bCs/>
          <w:sz w:val="20"/>
          <w:szCs w:val="20"/>
        </w:rPr>
        <w:t>methodological implications for future empirical studies of blockchain.</w:t>
      </w:r>
    </w:p>
    <w:bookmarkEnd w:id="6"/>
    <w:p w14:paraId="7547E50F" w14:textId="77777777" w:rsidR="004452A0" w:rsidRPr="00DE7639" w:rsidRDefault="004452A0" w:rsidP="004452A0">
      <w:pPr>
        <w:adjustRightInd w:val="0"/>
        <w:snapToGrid w:val="0"/>
        <w:spacing w:after="0" w:line="240" w:lineRule="auto"/>
        <w:jc w:val="both"/>
        <w:rPr>
          <w:rFonts w:eastAsia="DFKai-SB"/>
          <w:bCs/>
          <w:sz w:val="20"/>
          <w:szCs w:val="20"/>
        </w:rPr>
      </w:pPr>
    </w:p>
    <w:p w14:paraId="622B5C92" w14:textId="77777777" w:rsidR="004452A0" w:rsidRPr="00C70430" w:rsidRDefault="004452A0" w:rsidP="004452A0">
      <w:pPr>
        <w:adjustRightInd w:val="0"/>
        <w:snapToGrid w:val="0"/>
        <w:spacing w:after="0" w:line="240" w:lineRule="auto"/>
        <w:jc w:val="center"/>
        <w:rPr>
          <w:rFonts w:eastAsia="DFKai-SB"/>
          <w:b/>
          <w:caps/>
          <w:sz w:val="20"/>
          <w:szCs w:val="20"/>
        </w:rPr>
      </w:pPr>
      <w:r w:rsidRPr="00C70430">
        <w:rPr>
          <w:rFonts w:eastAsia="DFKai-SB"/>
          <w:b/>
          <w:caps/>
          <w:sz w:val="20"/>
          <w:szCs w:val="20"/>
        </w:rPr>
        <w:t>RELATED WORK</w:t>
      </w:r>
    </w:p>
    <w:p w14:paraId="348B2B13" w14:textId="77777777" w:rsidR="004452A0" w:rsidRPr="00C70430" w:rsidRDefault="004452A0" w:rsidP="004452A0">
      <w:pPr>
        <w:adjustRightInd w:val="0"/>
        <w:snapToGrid w:val="0"/>
        <w:spacing w:after="0" w:line="240" w:lineRule="auto"/>
        <w:jc w:val="both"/>
        <w:rPr>
          <w:rFonts w:eastAsia="DFKai-SB"/>
          <w:b/>
          <w:sz w:val="20"/>
          <w:szCs w:val="20"/>
        </w:rPr>
      </w:pPr>
      <w:r w:rsidRPr="00C70430">
        <w:rPr>
          <w:rFonts w:eastAsia="DFKai-SB" w:hint="eastAsia"/>
          <w:b/>
          <w:sz w:val="20"/>
          <w:szCs w:val="20"/>
        </w:rPr>
        <w:t>Spam</w:t>
      </w:r>
      <w:r w:rsidRPr="00C70430">
        <w:rPr>
          <w:rFonts w:eastAsia="DFKai-SB"/>
          <w:b/>
          <w:sz w:val="20"/>
          <w:szCs w:val="20"/>
        </w:rPr>
        <w:t xml:space="preserve"> </w:t>
      </w:r>
      <w:r w:rsidRPr="00C70430">
        <w:rPr>
          <w:rFonts w:eastAsia="DFKai-SB" w:hint="eastAsia"/>
          <w:b/>
          <w:sz w:val="20"/>
          <w:szCs w:val="20"/>
        </w:rPr>
        <w:t>Filtering</w:t>
      </w:r>
    </w:p>
    <w:p w14:paraId="5A00502B" w14:textId="77777777" w:rsidR="004452A0" w:rsidRPr="00C70430" w:rsidRDefault="004452A0" w:rsidP="004452A0">
      <w:pPr>
        <w:adjustRightInd w:val="0"/>
        <w:snapToGrid w:val="0"/>
        <w:spacing w:after="0" w:line="240" w:lineRule="auto"/>
        <w:jc w:val="both"/>
        <w:rPr>
          <w:sz w:val="20"/>
          <w:szCs w:val="20"/>
        </w:rPr>
      </w:pPr>
      <w:bookmarkStart w:id="7" w:name="OLE_LINK9"/>
      <w:r>
        <w:rPr>
          <w:sz w:val="20"/>
          <w:szCs w:val="20"/>
        </w:rPr>
        <w:t xml:space="preserve">Prior research on spam filtering has concentrated extensively on algorithm design. Naive Bayes, Decision Tree, and SVM are the most commonly used mail filtering algorithms </w:t>
      </w:r>
      <w:r w:rsidRPr="00C70430">
        <w:rPr>
          <w:sz w:val="20"/>
          <w:szCs w:val="20"/>
        </w:rPr>
        <w:fldChar w:fldCharType="begin"/>
      </w:r>
      <w:r>
        <w:rPr>
          <w:sz w:val="20"/>
          <w:szCs w:val="20"/>
        </w:rPr>
        <w:instrText xml:space="preserve"> ADDIN ZOTERO_ITEM CSL_CITATION {"citationID":"iUrayEyg","properties":{"formattedCitation":"(Mujtaba et al., 2018)","plainCitation":"(Mujtaba et al., 2018)","noteIndex":0},"citationItems":[{"id":566,"uris":["http://zotero.org/users/8646247/items/ZLF7LSE5"],"itemData":{"id":566,"type":"article-journal","abstract":"This paper provides a comprehensive review and analysis of the detection of suspicious terrorist electronic mails (emails) using various phases and methods of text classification. We explored, analyzed, and compared different datasets, features, feature extraction techniques, feature representation techniques, feature selection schemes, text classification techniques, and performance measurement metrics used in the detection of suspicious terrorist e-mails. 30 articles were retrieved from 6 well-known academic databases after rigorous selection. From the study, we found that researchers often generate their own e-mails dataset since there is no public dataset is available in the research area of detecting suspicious terrorist e-mails. In most of the studies, researchers used content and context-based features to detect terrorist e-mails. Our findings also show that the most commonly used feature extraction techniques are the bag of words and n-gram, the most typically applied feature representation schemes are binary representation and term frequency, the most usually adopted feature selection method is information gain,, the most common and most accurate text classification algorithms are naïve bayes, decision trees, and support vector machines, and the widely employed performance measurement metrics are accuracy, precision, and recall. Open research challenges and research issues that involve significant research efforts are also summarized in this review for future researchers in the area of suspicious terrorist e-mail detection using text classification techniques where the critical analysis presented in this paper also provides valuable insights to guide these researchers. Finally, the indicated issues and challenges presented in this paper can be used as future research directions in this area.","container-title":"Malaysian Journal of Computer Science","DOI":"10.22452/mjcs.vol31no4.3","ISSN":"0127-9084","issue":"4","language":"en","page":"271-299","source":"ejournal-um-edu-my-s.vpn.hhu.edu.cn:8118","title":"DETECTION OF SUSPICIOUS TERRORIST EMAILS USING TEXT CLASSIFICATION: A REVIEW","title-short":"DETECTION OF SUSPICIOUS TERRORIST EMAILS USING TEXT CLASSIFICATION","volume":"31","author":[{"family":"Mujtaba","given":"Ghulam"},{"family":"Shuib","given":"Liyana"},{"family":"Raj","given":"Ram Gopal"},{"family":"Gunalan","given":"Roshan"}],"issued":{"date-parts":[["2018",10,24]]},"citation-key":"mujtabaDETECTIONSUSPICIOUSTERRORIST2018"}}],"schema":"https://github.com/citation-style-language/schema/raw/master/csl-citation.json"} </w:instrText>
      </w:r>
      <w:r w:rsidRPr="00C70430">
        <w:rPr>
          <w:sz w:val="20"/>
          <w:szCs w:val="20"/>
        </w:rPr>
        <w:fldChar w:fldCharType="separate"/>
      </w:r>
      <w:r>
        <w:rPr>
          <w:sz w:val="20"/>
          <w:szCs w:val="20"/>
        </w:rPr>
        <w:t>(Mujtaba et al., 2018)</w:t>
      </w:r>
      <w:r w:rsidRPr="00C70430">
        <w:rPr>
          <w:sz w:val="20"/>
          <w:szCs w:val="20"/>
        </w:rPr>
        <w:fldChar w:fldCharType="end"/>
      </w:r>
      <w:r w:rsidRPr="00C70430">
        <w:rPr>
          <w:sz w:val="20"/>
          <w:szCs w:val="20"/>
        </w:rPr>
        <w:t>. On this basis, many researches introduce neural networks for mail recognition, such as MLP</w:t>
      </w:r>
      <w:r>
        <w:rPr>
          <w:sz w:val="20"/>
          <w:szCs w:val="20"/>
        </w:rPr>
        <w:t xml:space="preserve"> </w:t>
      </w:r>
      <w:r w:rsidRPr="00C70430">
        <w:rPr>
          <w:sz w:val="20"/>
          <w:szCs w:val="20"/>
        </w:rPr>
        <w:fldChar w:fldCharType="begin"/>
      </w:r>
      <w:r>
        <w:rPr>
          <w:sz w:val="20"/>
          <w:szCs w:val="20"/>
        </w:rPr>
        <w:instrText xml:space="preserve"> ADDIN ZOTERO_ITEM CSL_CITATION {"citationID":"WXJlE31n","properties":{"formattedCitation":"(Apoorva &amp; Sangeetha, 2021)","plainCitation":"(Apoorva &amp; Sangeetha, 2021)","noteIndex":0},"citationItems":[{"id":563,"uris":["http://zotero.org/users/8646247/items/LL9LRSXB"],"itemData":{"id":563,"type":"article-journal","abstract":"Electronic mail is the primary source of different cyber scams. Identifying the author of electronic mail is essential. It forms significant documentary evidence in the field of digital forensics. This paper presents a model for email author identification (or) attribution by utilizing deep neural networks and model-based clustering techniques. It is perceived that stylometry features in the authorship identification have gained a lot of importance as it enhances the author attribution task's accuracy. The experiments were performed on a publicly available benchmark Enron dataset, considering many authors. The proposed model achieves an accuracy of 94% on five authors, 90% on ten authors, 86% on 25 authors and 75% on the entire dataset for the Deep Neural Network technique, which is a good measure of accuracy on a highly imbalanced data. The second cluster-based technique yielded an excellent 86% accuracy on the entire dataset, considering the authors' number based on their contribution to the aggregate data.","container-title":"SN Applied Sciences","DOI":"10.1007/s42452-020-04127-6","ISSN":"2523-3971","issue":"3","journalAbbreviation":"SN Appl. Sci.","language":"en","page":"348","source":"Springer Link","title":"Deep neural network and model-based clustering technique for forensic electronic mail author attribution","volume":"3","author":[{"family":"Apoorva","given":"K. A."},{"family":"Sangeetha","given":"S."}],"issued":{"date-parts":[["2021",2,18]]},"citation-key":"apoorvaDeepNeuralNetwork2021"}}],"schema":"https://github.com/citation-style-language/schema/raw/master/csl-citation.json"} </w:instrText>
      </w:r>
      <w:r w:rsidRPr="00C70430">
        <w:rPr>
          <w:sz w:val="20"/>
          <w:szCs w:val="20"/>
        </w:rPr>
        <w:fldChar w:fldCharType="separate"/>
      </w:r>
      <w:r>
        <w:rPr>
          <w:sz w:val="20"/>
          <w:szCs w:val="20"/>
        </w:rPr>
        <w:t>(Apoorva &amp; Sangeetha, 2021)</w:t>
      </w:r>
      <w:r w:rsidRPr="00C70430">
        <w:rPr>
          <w:sz w:val="20"/>
          <w:szCs w:val="20"/>
        </w:rPr>
        <w:fldChar w:fldCharType="end"/>
      </w:r>
      <w:r w:rsidRPr="00C70430">
        <w:rPr>
          <w:sz w:val="20"/>
          <w:szCs w:val="20"/>
        </w:rPr>
        <w:t>, LSTM</w:t>
      </w:r>
      <w:r>
        <w:rPr>
          <w:sz w:val="20"/>
          <w:szCs w:val="20"/>
        </w:rPr>
        <w:fldChar w:fldCharType="begin"/>
      </w:r>
      <w:r>
        <w:rPr>
          <w:sz w:val="20"/>
          <w:szCs w:val="20"/>
        </w:rPr>
        <w:instrText xml:space="preserve"> ADDIN ZOTERO_ITEM CSL_CITATION {"citationID":"ahg2dculhd","properties":{"formattedCitation":"(Saumya &amp; Singh, 2022)","plainCitation":"(Saumya &amp; Singh, 2022)","noteIndex":0},"citationItems":[{"id":2404,"uris":["http://zotero.org/users/8646247/items/YVZCYMNB"],"itemData":{"id":2404,"type":"article-journal","container-title":"Electronic Commerce Research","DOI":"10.1007/s10660-020-09413-4","ISSN":"1389-5753, 1572-9362","issue":"1","journalAbbreviation":"Electron Commer Res","language":"en","page":"113-133","source":"DOI.org (Crossref)","title":"Spam review detection using LSTM autoencoder: an unsupervised approach","title-short":"Spam review detection using LSTM autoencoder","volume":"22","author":[{"family":"Saumya","given":"Sunil"},{"family":"Singh","given":"Jyoti Prakash"}],"issued":{"date-parts":[["2022",3]]},"citation-key":"saumyaSpamReviewDetection2022"}}],"schema":"https://github.com/citation-style-language/schema/raw/master/csl-citation.json"} </w:instrText>
      </w:r>
      <w:r>
        <w:rPr>
          <w:sz w:val="20"/>
          <w:szCs w:val="20"/>
        </w:rPr>
        <w:fldChar w:fldCharType="separate"/>
      </w:r>
      <w:r>
        <w:rPr>
          <w:sz w:val="20"/>
        </w:rPr>
        <w:t>(Saumya &amp; Singh, 2022)</w:t>
      </w:r>
      <w:r>
        <w:rPr>
          <w:sz w:val="20"/>
          <w:szCs w:val="20"/>
        </w:rPr>
        <w:fldChar w:fldCharType="end"/>
      </w:r>
      <w:r w:rsidRPr="00C70430">
        <w:rPr>
          <w:sz w:val="20"/>
          <w:szCs w:val="20"/>
        </w:rPr>
        <w:t xml:space="preserve">, </w:t>
      </w:r>
      <w:bookmarkStart w:id="8" w:name="OLE_LINK618"/>
      <w:r w:rsidRPr="00C70430">
        <w:rPr>
          <w:sz w:val="20"/>
          <w:szCs w:val="20"/>
        </w:rPr>
        <w:t>ensemble learning</w:t>
      </w:r>
      <w:bookmarkEnd w:id="8"/>
      <w:r>
        <w:rPr>
          <w:sz w:val="20"/>
          <w:szCs w:val="20"/>
        </w:rPr>
        <w:fldChar w:fldCharType="begin"/>
      </w:r>
      <w:r>
        <w:rPr>
          <w:sz w:val="20"/>
          <w:szCs w:val="20"/>
        </w:rPr>
        <w:instrText xml:space="preserve"> ADDIN ZOTERO_ITEM CSL_CITATION {"citationID":"a3ftbirsdp","properties":{"formattedCitation":"(Zhao et al., 2020)","plainCitation":"(Zhao et al., 2020)","noteIndex":0},"citationItems":[{"id":2405,"uris":["http://zotero.org/users/8646247/items/FAVDDQ7R"],"itemData":{"id":2405,"type":"article-journal","abstract":"The popularity of social networks provides people with many conveniences, but their rapid growth has also attracted many attackers. In recent years, the malicious behavior of social network spammers has seriously threatened the information security of ordinary users. To reduce this threat, many researchers have mined the behavior characteristics of spammers and have obtained good results by applying machine learning algorithms to identify spammers in social networks. However, most of these studies overlook class imbalance situations that exist in real world data. In this paper, we propose a heterogeneous stacking-based ensemble learning framework to ameliorate the impact of class imbalance on spam detection in social networks. The proposed framework consists of two main components, a base module and a combining module. In the base module, we adopt six different base classifiers and utilize this classifier diversity to construct new ensemble input members. In the combination module, we introduce cost sensitive learning into deep neural network training. By setting different costs for misclassification and dynamically adjusting the weights of the prediction results of the base classifiers, we can integrate the input members and aggregate the classification results. The experimental results show that our framework effectively improves the spam detection rate on imbalanced datasets.","container-title":"Applied Sciences","DOI":"10.3390/app10030936","ISSN":"2076-3417","issue":"3","journalAbbreviation":"Applied Sciences","language":"en","page":"936","source":"DOI.org (Crossref)","title":"A Heterogeneous Ensemble Learning Framework for Spam Detection in Social Networks with Imbalanced Data","volume":"10","author":[{"family":"Zhao","given":"Chensu"},{"family":"Xin","given":"Yang"},{"family":"Li","given":"Xuefeng"},{"family":"Yang","given":"Yixian"},{"family":"Chen","given":"Yuling"}],"issued":{"date-parts":[["2020",1,31]]},"citation-key":"zhaoHeterogeneousEnsembleLearning2020"}}],"schema":"https://github.com/citation-style-language/schema/raw/master/csl-citation.json"} </w:instrText>
      </w:r>
      <w:r>
        <w:rPr>
          <w:sz w:val="20"/>
          <w:szCs w:val="20"/>
        </w:rPr>
        <w:fldChar w:fldCharType="separate"/>
      </w:r>
      <w:r>
        <w:rPr>
          <w:sz w:val="20"/>
        </w:rPr>
        <w:t>(Zhao et al., 2020)</w:t>
      </w:r>
      <w:r>
        <w:rPr>
          <w:sz w:val="20"/>
          <w:szCs w:val="20"/>
        </w:rPr>
        <w:fldChar w:fldCharType="end"/>
      </w:r>
      <w:r w:rsidRPr="00C70430">
        <w:rPr>
          <w:sz w:val="20"/>
          <w:szCs w:val="20"/>
        </w:rPr>
        <w:t>, etc.,</w:t>
      </w:r>
      <w:r>
        <w:rPr>
          <w:sz w:val="20"/>
          <w:szCs w:val="20"/>
        </w:rPr>
        <w:t xml:space="preserve"> </w:t>
      </w:r>
      <w:r>
        <w:rPr>
          <w:sz w:val="20"/>
          <w:szCs w:val="20"/>
          <w:lang w:eastAsia="zh-CN"/>
        </w:rPr>
        <w:t>and</w:t>
      </w:r>
      <w:r w:rsidRPr="00C70430">
        <w:rPr>
          <w:sz w:val="20"/>
          <w:szCs w:val="20"/>
        </w:rPr>
        <w:t xml:space="preserve"> buil</w:t>
      </w:r>
      <w:r>
        <w:rPr>
          <w:sz w:val="20"/>
          <w:szCs w:val="20"/>
        </w:rPr>
        <w:t>t</w:t>
      </w:r>
      <w:r w:rsidRPr="00C70430">
        <w:rPr>
          <w:sz w:val="20"/>
          <w:szCs w:val="20"/>
        </w:rPr>
        <w:t xml:space="preserve"> recognition models that integrate</w:t>
      </w:r>
      <w:r>
        <w:rPr>
          <w:sz w:val="20"/>
          <w:szCs w:val="20"/>
        </w:rPr>
        <w:t>d</w:t>
      </w:r>
      <w:r w:rsidRPr="00C70430">
        <w:rPr>
          <w:sz w:val="20"/>
          <w:szCs w:val="20"/>
        </w:rPr>
        <w:t xml:space="preserve"> multiple algorithms. </w:t>
      </w:r>
      <w:r w:rsidRPr="00C70430">
        <w:rPr>
          <w:sz w:val="20"/>
          <w:szCs w:val="20"/>
        </w:rPr>
        <w:fldChar w:fldCharType="begin"/>
      </w:r>
      <w:r>
        <w:rPr>
          <w:sz w:val="20"/>
          <w:szCs w:val="20"/>
        </w:rPr>
        <w:instrText xml:space="preserve"> ADDIN ZOTERO_ITEM CSL_CITATION {"citationID":"NDy68hT4","properties":{"formattedCitation":"(Shrivas et al., 2021)","plainCitation":"(Shrivas et al., 2021)","dontUpdate":true,"noteIndex":0},"citationItems":[{"id":582,"uris":["http://zotero.org/users/8646247/items/7VRT7W77"],"itemData":{"id":582,"type":"article-journal","abstract":"Spam e-mail documents classification is a very challenging task for e-mail users, especially non IT users. Billions of people using the internet and face the problem of spam e-mails. The automatic identification and classification of spam e-mails help to reduce the problem of e-mail users in managing a large amount of e-mails. This work aims to do a significant contribution by building a robust model for classification of spam e-mail documents using data mining techniques. In this paper, we use Enorn1 data set which consists of spam and ham documents collected from Kaggle repository. We propose an Ensemble Model-1 that is an ensemble of Multilayer Perceptron (MLP), Naïve Bayes and Random Forest (RF) to obtain better accuracy for the classification of spam and hame-mail docu­ments. Experimental results reveal that the proposed Ensemble Model-1 outperforms other existing classifiers as well as other proposed ensemble models in terms of classification accuracy. The suggested and proposed Ensem­ble Model-1 produces a high accuracy of 97.25% for classification of spam e-mail documents.","container-title":"Information Technology and Control","DOI":"10.5755/j01.itc.50.3.27349","ISSN":"2335-884X","issue":"3","language":"en","license":"Copyright (c) 2021 Information Technology and Control","note":"number: 3","source":"www.itc.ktu.lt","title":"Development of Proposed Ensemble Model for Spam e-mail Classification","URL":"https://itc.ktu.lt/index.php/ITC/article/view/411-423","volume":"50","author":[{"family":"Shrivas","given":"Akhilesh Kumar"},{"family":"Dewangan","given":"Amit Kumar"},{"family":"Ghosh","given":"S. M."},{"family":"Singh","given":"Devendra"}],"accessed":{"date-parts":[["2022",2,22]]},"issued":{"date-parts":[["2021",9,24]]},"citation-key":"shrivasDevelopmentProposedEnsemble2021"}}],"schema":"https://github.com/citation-style-language/schema/raw/master/csl-citation.json"} </w:instrText>
      </w:r>
      <w:r w:rsidRPr="00C70430">
        <w:rPr>
          <w:sz w:val="20"/>
          <w:szCs w:val="20"/>
        </w:rPr>
        <w:fldChar w:fldCharType="separate"/>
      </w:r>
      <w:r>
        <w:rPr>
          <w:sz w:val="20"/>
          <w:szCs w:val="20"/>
        </w:rPr>
        <w:t>Shrivas et al. (2021)</w:t>
      </w:r>
      <w:r w:rsidRPr="00C70430">
        <w:rPr>
          <w:sz w:val="20"/>
          <w:szCs w:val="20"/>
        </w:rPr>
        <w:fldChar w:fldCharType="end"/>
      </w:r>
      <w:r w:rsidRPr="00C70430">
        <w:rPr>
          <w:sz w:val="20"/>
          <w:szCs w:val="20"/>
        </w:rPr>
        <w:t xml:space="preserve"> assessed the models integrating </w:t>
      </w:r>
      <w:r w:rsidRPr="00C70430">
        <w:rPr>
          <w:rFonts w:hint="eastAsia"/>
          <w:sz w:val="20"/>
          <w:szCs w:val="20"/>
        </w:rPr>
        <w:t>various</w:t>
      </w:r>
      <w:r w:rsidRPr="00C70430">
        <w:rPr>
          <w:sz w:val="20"/>
          <w:szCs w:val="20"/>
        </w:rPr>
        <w:t xml:space="preserve"> algorithms, compared and summarized four models made up of naive Bayes, decision tree, K-NN, SVM, MLP and RF, and found that the model composed of MLP</w:t>
      </w:r>
      <w:r>
        <w:rPr>
          <w:sz w:val="20"/>
          <w:szCs w:val="20"/>
        </w:rPr>
        <w:t>,</w:t>
      </w:r>
      <w:r w:rsidRPr="00C70430">
        <w:rPr>
          <w:sz w:val="20"/>
          <w:szCs w:val="20"/>
        </w:rPr>
        <w:t xml:space="preserve"> Naive Bayes</w:t>
      </w:r>
      <w:r>
        <w:rPr>
          <w:sz w:val="20"/>
          <w:szCs w:val="20"/>
        </w:rPr>
        <w:t xml:space="preserve"> and </w:t>
      </w:r>
      <w:r w:rsidRPr="00C70430">
        <w:rPr>
          <w:sz w:val="20"/>
          <w:szCs w:val="20"/>
        </w:rPr>
        <w:t>RF had the best performance.</w:t>
      </w:r>
      <w:r>
        <w:rPr>
          <w:sz w:val="20"/>
          <w:szCs w:val="20"/>
        </w:rPr>
        <w:t xml:space="preserve"> However, these solutions have not adopted the </w:t>
      </w:r>
      <w:r w:rsidRPr="00C70430">
        <w:rPr>
          <w:sz w:val="20"/>
          <w:szCs w:val="20"/>
        </w:rPr>
        <w:t>personalized filtering strateg</w:t>
      </w:r>
      <w:r>
        <w:rPr>
          <w:sz w:val="20"/>
          <w:szCs w:val="20"/>
        </w:rPr>
        <w:t>y.</w:t>
      </w:r>
    </w:p>
    <w:bookmarkEnd w:id="7"/>
    <w:p w14:paraId="59105A69" w14:textId="77777777" w:rsidR="004452A0" w:rsidRPr="00C70430" w:rsidRDefault="004452A0" w:rsidP="004452A0">
      <w:pPr>
        <w:adjustRightInd w:val="0"/>
        <w:snapToGrid w:val="0"/>
        <w:spacing w:after="0" w:line="240" w:lineRule="auto"/>
        <w:jc w:val="both"/>
        <w:rPr>
          <w:sz w:val="20"/>
          <w:szCs w:val="20"/>
        </w:rPr>
      </w:pPr>
    </w:p>
    <w:p w14:paraId="63695159" w14:textId="77777777" w:rsidR="004452A0" w:rsidRPr="00C70430" w:rsidRDefault="004452A0" w:rsidP="004452A0">
      <w:pPr>
        <w:adjustRightInd w:val="0"/>
        <w:snapToGrid w:val="0"/>
        <w:spacing w:after="0" w:line="240" w:lineRule="auto"/>
        <w:jc w:val="both"/>
        <w:rPr>
          <w:sz w:val="20"/>
          <w:szCs w:val="20"/>
        </w:rPr>
      </w:pPr>
      <w:bookmarkStart w:id="9" w:name="OLE_LINK16"/>
      <w:bookmarkStart w:id="10" w:name="OLE_LINK15"/>
      <w:r w:rsidRPr="00C70430">
        <w:rPr>
          <w:sz w:val="20"/>
          <w:szCs w:val="20"/>
        </w:rPr>
        <w:t xml:space="preserve">The personalized filtering strategy builds on the conventional mail filtering algorithm and considers </w:t>
      </w:r>
      <w:r>
        <w:rPr>
          <w:sz w:val="20"/>
          <w:szCs w:val="20"/>
        </w:rPr>
        <w:t>heterogeneous</w:t>
      </w:r>
      <w:r w:rsidRPr="00C70430">
        <w:rPr>
          <w:sz w:val="20"/>
          <w:szCs w:val="20"/>
        </w:rPr>
        <w:t xml:space="preserve"> user patterns</w:t>
      </w:r>
      <w:r>
        <w:rPr>
          <w:sz w:val="20"/>
          <w:szCs w:val="20"/>
        </w:rPr>
        <w:t>. Since</w:t>
      </w:r>
      <w:r w:rsidRPr="00C70430">
        <w:rPr>
          <w:sz w:val="20"/>
          <w:szCs w:val="20"/>
        </w:rPr>
        <w:t xml:space="preserve"> </w:t>
      </w:r>
      <w:r>
        <w:rPr>
          <w:sz w:val="20"/>
          <w:szCs w:val="20"/>
        </w:rPr>
        <w:t>t</w:t>
      </w:r>
      <w:r w:rsidRPr="00C70430">
        <w:rPr>
          <w:sz w:val="20"/>
          <w:szCs w:val="20"/>
        </w:rPr>
        <w:t xml:space="preserve">he classification of spam varies depending on the user's interests, hobbies, and usage patterns, </w:t>
      </w:r>
      <w:r>
        <w:rPr>
          <w:sz w:val="20"/>
          <w:szCs w:val="20"/>
        </w:rPr>
        <w:t>i.e.,</w:t>
      </w:r>
      <w:r w:rsidRPr="00C70430">
        <w:rPr>
          <w:sz w:val="20"/>
          <w:szCs w:val="20"/>
        </w:rPr>
        <w:t xml:space="preserve"> a</w:t>
      </w:r>
      <w:r>
        <w:rPr>
          <w:sz w:val="20"/>
          <w:szCs w:val="20"/>
        </w:rPr>
        <w:t>n</w:t>
      </w:r>
      <w:r w:rsidRPr="00C70430">
        <w:rPr>
          <w:sz w:val="20"/>
          <w:szCs w:val="20"/>
        </w:rPr>
        <w:t xml:space="preserve"> email may not be considered spam by one user while being considered spam by another</w:t>
      </w:r>
      <w:r>
        <w:rPr>
          <w:sz w:val="20"/>
          <w:szCs w:val="20"/>
        </w:rPr>
        <w:t xml:space="preserve">, the </w:t>
      </w:r>
      <w:r w:rsidRPr="00C70430">
        <w:rPr>
          <w:sz w:val="20"/>
          <w:szCs w:val="20"/>
        </w:rPr>
        <w:t xml:space="preserve">personalized filtering strategy further enhances the filtering </w:t>
      </w:r>
      <w:r>
        <w:rPr>
          <w:sz w:val="20"/>
          <w:szCs w:val="20"/>
        </w:rPr>
        <w:t>accuracy. For example,</w:t>
      </w:r>
      <w:r w:rsidRPr="00C70430">
        <w:rPr>
          <w:sz w:val="20"/>
          <w:szCs w:val="20"/>
        </w:rPr>
        <w:t xml:space="preserve"> </w:t>
      </w:r>
      <w:bookmarkStart w:id="11" w:name="OLE_LINK17"/>
      <w:r w:rsidRPr="00C70430">
        <w:rPr>
          <w:sz w:val="20"/>
          <w:szCs w:val="20"/>
        </w:rPr>
        <w:fldChar w:fldCharType="begin"/>
      </w:r>
      <w:r>
        <w:rPr>
          <w:sz w:val="20"/>
          <w:szCs w:val="20"/>
        </w:rPr>
        <w:instrText xml:space="preserve"> ADDIN ZOTERO_ITEM CSL_CITATION {"citationID":"FmzbGp1n","properties":{"formattedCitation":"(Liu et al., 2017)","plainCitation":"(Liu et al., 2017)","dontUpdate":true,"noteIndex":0},"citationItems":[{"id":713,"uris":["http://zotero.org/users/8646247/items/43ZG2BWL"],"itemData":{"id":713,"type":"article-journal","abstract":"Email spam consumes a lot of network resources and threatens many systems because of its unwanted or malicious content. Most existing spam filters only target complete-spam but ignore semispam. This paper proposes a novel and comprehensive CPSFS scheme: Credible Personalized Spam Filtering Scheme, which classifies spam into two categories: complete-spam and semispam, and targets filtering both kinds of spam. Complete-spam is always spam for all users; semispam is an email identified as spam by some users and as regular email by other users. Most existing spam filters target complete-spam but ignore semispam. In CPSFS, Bayesian filtering is deployed at email servers to identify complete-spam, while semispam is identified at client side by crowdsourcing. An email user client can distinguish junk from legitimate emails according to spam reports from credible contacts with the similar interests. Social trust and interest similarity between users and their contacts are calculated so that spam reports are more accurately targeted to similar users. The experimental results show that the proposed CPSFS can improve the accuracy rate of distinguishing spam from legitimate emails compared with that of Bayesian filter alone.","container-title":"Wireless Communications and Mobile Computing","DOI":"10.1155/2017/1457870","ISSN":"1530-8669, 1530-8677","journalAbbreviation":"Wireless Communications and Mobile Computing","language":"en","page":"1-9","source":"DOI.org (Crossref)","title":"CPSFS: A Credible Personalized Spam Filtering Scheme by Crowdsourcing","title-short":"CPSFS","volume":"2017","author":[{"family":"Liu","given":"Xin"},{"family":"Zou","given":"Pingjun"},{"family":"Zhang","given":"Weishan"},{"family":"Zhou","given":"Jiehan"},{"family":"Dai","given":"Changying"},{"family":"Wang","given":"Feng"},{"family":"Zhang","given":"Xiaomiao"}],"issued":{"date-parts":[["2017"]]},"citation-key":"liuCPSFSCrediblePersonalized2017"}}],"schema":"https://github.com/citation-style-language/schema/raw/master/csl-citation.json"} </w:instrText>
      </w:r>
      <w:r w:rsidRPr="00C70430">
        <w:rPr>
          <w:sz w:val="20"/>
          <w:szCs w:val="20"/>
        </w:rPr>
        <w:fldChar w:fldCharType="separate"/>
      </w:r>
      <w:r>
        <w:rPr>
          <w:sz w:val="20"/>
          <w:szCs w:val="20"/>
        </w:rPr>
        <w:t>Liu et al. (2017)</w:t>
      </w:r>
      <w:r w:rsidRPr="00C70430">
        <w:rPr>
          <w:sz w:val="20"/>
          <w:szCs w:val="20"/>
        </w:rPr>
        <w:fldChar w:fldCharType="end"/>
      </w:r>
      <w:r w:rsidRPr="00C70430">
        <w:rPr>
          <w:sz w:val="20"/>
          <w:szCs w:val="20"/>
        </w:rPr>
        <w:t xml:space="preserve"> proposed the CPSFS filtering model</w:t>
      </w:r>
      <w:r>
        <w:rPr>
          <w:sz w:val="20"/>
          <w:szCs w:val="20"/>
        </w:rPr>
        <w:t xml:space="preserve"> that</w:t>
      </w:r>
      <w:r w:rsidRPr="00C70430">
        <w:rPr>
          <w:sz w:val="20"/>
          <w:szCs w:val="20"/>
        </w:rPr>
        <w:t xml:space="preserve"> divides spam into "totally spam" </w:t>
      </w:r>
      <w:r>
        <w:rPr>
          <w:sz w:val="20"/>
          <w:szCs w:val="20"/>
        </w:rPr>
        <w:t xml:space="preserve">- </w:t>
      </w:r>
      <w:r w:rsidRPr="00C70430">
        <w:rPr>
          <w:sz w:val="20"/>
          <w:szCs w:val="20"/>
        </w:rPr>
        <w:t xml:space="preserve">considered spam by all users, and "half spam" </w:t>
      </w:r>
      <w:r>
        <w:rPr>
          <w:sz w:val="20"/>
          <w:szCs w:val="20"/>
        </w:rPr>
        <w:t>-</w:t>
      </w:r>
      <w:r w:rsidRPr="00C70430">
        <w:rPr>
          <w:sz w:val="20"/>
          <w:szCs w:val="20"/>
        </w:rPr>
        <w:t xml:space="preserve"> considered spam by certain users, and filters spams on</w:t>
      </w:r>
      <w:r>
        <w:rPr>
          <w:sz w:val="20"/>
          <w:szCs w:val="20"/>
        </w:rPr>
        <w:t xml:space="preserve"> both</w:t>
      </w:r>
      <w:r w:rsidRPr="00C70430">
        <w:rPr>
          <w:sz w:val="20"/>
          <w:szCs w:val="20"/>
        </w:rPr>
        <w:t xml:space="preserve"> the server-side and the client-side. </w:t>
      </w:r>
      <w:r>
        <w:rPr>
          <w:sz w:val="20"/>
          <w:szCs w:val="20"/>
        </w:rPr>
        <w:t>Their experiment revealed that CPSFS was more precise than ordinary Bayesian filtering. Similarly,</w:t>
      </w:r>
      <w:r w:rsidRPr="00C70430">
        <w:rPr>
          <w:sz w:val="20"/>
          <w:szCs w:val="20"/>
        </w:rPr>
        <w:t xml:space="preserve"> </w:t>
      </w:r>
      <w:bookmarkStart w:id="12" w:name="_Hlk113448677"/>
      <w:bookmarkEnd w:id="9"/>
      <w:bookmarkEnd w:id="11"/>
      <w:r w:rsidRPr="00C70430">
        <w:rPr>
          <w:sz w:val="20"/>
          <w:szCs w:val="20"/>
        </w:rPr>
        <w:fldChar w:fldCharType="begin"/>
      </w:r>
      <w:r>
        <w:rPr>
          <w:sz w:val="20"/>
          <w:szCs w:val="20"/>
        </w:rPr>
        <w:instrText xml:space="preserve"> ADDIN ZOTERO_ITEM CSL_CITATION {"citationID":"aHb308qv","properties":{"formattedCitation":"(Chen &amp; Xu, 2018)","plainCitation":"(Chen &amp; Xu, 2018)","dontUpdate":true,"noteIndex":0},"citationItems":[{"id":313,"uris":["http://zotero.org/users/8646247/items/2WD48N42"],"itemData":{"id":313,"type":"article-journal","container-title":"SCIENTIA SINICA Informationis","DOI":"10.1360/N112018-00138","ISSN":"1674-7267","issue":"12","journalAbbreviation":"Sci. Sin.-Inf.","language":"zh","page":"1681-1696","source":"DOI.org (Crossref)","title":"A personalized mail re-filtering system based on the client","volume":"48","author":[{"family":"Chen","given":"Songcan"},{"family":"Xu","given":"Dandan"}],"issued":{"date-parts":[["2018",12,1]]},"citation-key":"chenPersonalizedMailRefiltering2018"}}],"schema":"https://github.com/citation-style-language/schema/raw/master/csl-citation.json"} </w:instrText>
      </w:r>
      <w:r w:rsidRPr="00C70430">
        <w:rPr>
          <w:sz w:val="20"/>
          <w:szCs w:val="20"/>
        </w:rPr>
        <w:fldChar w:fldCharType="separate"/>
      </w:r>
      <w:r>
        <w:rPr>
          <w:sz w:val="20"/>
          <w:szCs w:val="20"/>
        </w:rPr>
        <w:t>Chen &amp; Xu</w:t>
      </w:r>
      <w:r w:rsidRPr="00A67598">
        <w:rPr>
          <w:sz w:val="20"/>
          <w:szCs w:val="20"/>
        </w:rPr>
        <w:t xml:space="preserve"> </w:t>
      </w:r>
      <w:r>
        <w:rPr>
          <w:sz w:val="20"/>
          <w:szCs w:val="20"/>
        </w:rPr>
        <w:t>(2018)</w:t>
      </w:r>
      <w:r w:rsidRPr="00C70430">
        <w:rPr>
          <w:sz w:val="20"/>
          <w:szCs w:val="20"/>
        </w:rPr>
        <w:fldChar w:fldCharType="end"/>
      </w:r>
      <w:r w:rsidRPr="00C70430">
        <w:rPr>
          <w:sz w:val="20"/>
          <w:szCs w:val="20"/>
        </w:rPr>
        <w:t xml:space="preserve"> </w:t>
      </w:r>
      <w:bookmarkEnd w:id="10"/>
      <w:bookmarkEnd w:id="12"/>
      <w:r w:rsidRPr="00C70430">
        <w:rPr>
          <w:sz w:val="20"/>
          <w:szCs w:val="20"/>
        </w:rPr>
        <w:t>developed a client-side mail re-filtering mechanism</w:t>
      </w:r>
      <w:r>
        <w:rPr>
          <w:sz w:val="20"/>
          <w:szCs w:val="20"/>
        </w:rPr>
        <w:t>.</w:t>
      </w:r>
      <w:r w:rsidRPr="00C70430">
        <w:rPr>
          <w:sz w:val="20"/>
          <w:szCs w:val="20"/>
        </w:rPr>
        <w:t xml:space="preserve"> </w:t>
      </w:r>
      <w:r>
        <w:rPr>
          <w:sz w:val="20"/>
          <w:szCs w:val="20"/>
        </w:rPr>
        <w:t>In their solution,</w:t>
      </w:r>
      <w:r w:rsidRPr="00C70430">
        <w:rPr>
          <w:sz w:val="20"/>
          <w:szCs w:val="20"/>
        </w:rPr>
        <w:t xml:space="preserve"> a dynamic filter</w:t>
      </w:r>
      <w:r>
        <w:rPr>
          <w:sz w:val="20"/>
          <w:szCs w:val="20"/>
        </w:rPr>
        <w:t xml:space="preserve"> was built</w:t>
      </w:r>
      <w:r w:rsidRPr="00C70430">
        <w:rPr>
          <w:sz w:val="20"/>
          <w:szCs w:val="20"/>
        </w:rPr>
        <w:t xml:space="preserve"> with </w:t>
      </w:r>
      <w:r>
        <w:rPr>
          <w:sz w:val="20"/>
          <w:szCs w:val="20"/>
        </w:rPr>
        <w:t>several</w:t>
      </w:r>
      <w:r w:rsidRPr="00C70430">
        <w:rPr>
          <w:sz w:val="20"/>
          <w:szCs w:val="20"/>
        </w:rPr>
        <w:t xml:space="preserve"> time windows and self-learning </w:t>
      </w:r>
      <w:r>
        <w:rPr>
          <w:sz w:val="20"/>
          <w:szCs w:val="20"/>
        </w:rPr>
        <w:t>methods to</w:t>
      </w:r>
      <w:r w:rsidRPr="00C70430">
        <w:rPr>
          <w:sz w:val="20"/>
          <w:szCs w:val="20"/>
        </w:rPr>
        <w:t xml:space="preserve"> achieve </w:t>
      </w:r>
      <w:r>
        <w:rPr>
          <w:sz w:val="20"/>
          <w:szCs w:val="20"/>
        </w:rPr>
        <w:t>effective filtering</w:t>
      </w:r>
      <w:r w:rsidRPr="00C70430">
        <w:rPr>
          <w:sz w:val="20"/>
          <w:szCs w:val="20"/>
        </w:rPr>
        <w:t>.</w:t>
      </w:r>
      <w:r>
        <w:rPr>
          <w:sz w:val="20"/>
          <w:szCs w:val="20"/>
        </w:rPr>
        <w:t xml:space="preserve"> </w:t>
      </w:r>
      <w:proofErr w:type="gramStart"/>
      <w:r>
        <w:rPr>
          <w:sz w:val="20"/>
          <w:szCs w:val="20"/>
        </w:rPr>
        <w:t>In spite of</w:t>
      </w:r>
      <w:proofErr w:type="gramEnd"/>
      <w:r>
        <w:rPr>
          <w:sz w:val="20"/>
          <w:szCs w:val="20"/>
        </w:rPr>
        <w:t xml:space="preserve"> its better performance, a fundamental shortcoming of t</w:t>
      </w:r>
      <w:r w:rsidRPr="00C70430">
        <w:rPr>
          <w:sz w:val="20"/>
          <w:szCs w:val="20"/>
        </w:rPr>
        <w:t>he personalized filtering strategy</w:t>
      </w:r>
      <w:r>
        <w:rPr>
          <w:sz w:val="20"/>
          <w:szCs w:val="20"/>
        </w:rPr>
        <w:t xml:space="preserve"> is that it relies heavily on the availability of users’ spam data.</w:t>
      </w:r>
    </w:p>
    <w:p w14:paraId="5A62B00D" w14:textId="77777777" w:rsidR="004452A0" w:rsidRPr="00C70430" w:rsidRDefault="004452A0" w:rsidP="004452A0">
      <w:pPr>
        <w:adjustRightInd w:val="0"/>
        <w:snapToGrid w:val="0"/>
        <w:spacing w:after="0" w:line="240" w:lineRule="auto"/>
        <w:jc w:val="both"/>
        <w:rPr>
          <w:sz w:val="20"/>
          <w:szCs w:val="20"/>
        </w:rPr>
      </w:pPr>
    </w:p>
    <w:p w14:paraId="1708D212" w14:textId="77777777" w:rsidR="004452A0" w:rsidRDefault="004452A0" w:rsidP="004452A0">
      <w:pPr>
        <w:adjustRightInd w:val="0"/>
        <w:snapToGrid w:val="0"/>
        <w:spacing w:after="0" w:line="240" w:lineRule="auto"/>
        <w:jc w:val="both"/>
        <w:rPr>
          <w:sz w:val="20"/>
          <w:szCs w:val="20"/>
        </w:rPr>
      </w:pPr>
      <w:bookmarkStart w:id="13" w:name="_Hlk113448769"/>
      <w:bookmarkStart w:id="14" w:name="OLE_LINK19"/>
      <w:bookmarkStart w:id="15" w:name="OLE_LINK29"/>
      <w:r>
        <w:rPr>
          <w:sz w:val="20"/>
          <w:szCs w:val="20"/>
        </w:rPr>
        <w:t>Whatever algorithm is employed, sufficient labeled spam data is required for training the filtering algorithm. An algorithm, particularly one for personalized filtering, can only accomplish its desired filtering performance when users report receiving spam.</w:t>
      </w:r>
      <w:r w:rsidRPr="00A45A0B">
        <w:rPr>
          <w:sz w:val="20"/>
          <w:szCs w:val="20"/>
        </w:rPr>
        <w:t xml:space="preserve"> </w:t>
      </w:r>
      <w:r>
        <w:rPr>
          <w:sz w:val="20"/>
          <w:szCs w:val="20"/>
        </w:rPr>
        <w:t xml:space="preserve">Our effort focuses on resolving the issue of how to get spam data from users, which has received very little attention up to this point. </w:t>
      </w:r>
    </w:p>
    <w:p w14:paraId="486FACDE" w14:textId="77777777" w:rsidR="004452A0" w:rsidRDefault="004452A0" w:rsidP="004452A0">
      <w:pPr>
        <w:adjustRightInd w:val="0"/>
        <w:snapToGrid w:val="0"/>
        <w:spacing w:after="0" w:line="240" w:lineRule="auto"/>
        <w:jc w:val="both"/>
        <w:rPr>
          <w:sz w:val="20"/>
          <w:szCs w:val="20"/>
        </w:rPr>
      </w:pPr>
    </w:p>
    <w:p w14:paraId="7F47A08E" w14:textId="77777777" w:rsidR="004452A0" w:rsidRDefault="004452A0" w:rsidP="004452A0">
      <w:pPr>
        <w:adjustRightInd w:val="0"/>
        <w:snapToGrid w:val="0"/>
        <w:spacing w:after="0" w:line="240" w:lineRule="auto"/>
        <w:jc w:val="both"/>
        <w:rPr>
          <w:b/>
          <w:bCs/>
          <w:sz w:val="20"/>
          <w:szCs w:val="20"/>
          <w:lang w:eastAsia="zh-CN"/>
        </w:rPr>
      </w:pPr>
      <w:bookmarkStart w:id="16" w:name="OLE_LINK583"/>
      <w:r w:rsidRPr="00DF2DD9">
        <w:rPr>
          <w:b/>
          <w:bCs/>
          <w:sz w:val="20"/>
          <w:szCs w:val="20"/>
          <w:lang w:eastAsia="zh-CN"/>
        </w:rPr>
        <w:t>Applicati</w:t>
      </w:r>
      <w:r>
        <w:rPr>
          <w:rFonts w:eastAsiaTheme="minorEastAsia"/>
          <w:b/>
          <w:bCs/>
          <w:sz w:val="20"/>
          <w:szCs w:val="20"/>
          <w:lang w:eastAsia="zh-CN"/>
        </w:rPr>
        <w:t>ons</w:t>
      </w:r>
      <w:r w:rsidRPr="00DF2DD9">
        <w:rPr>
          <w:b/>
          <w:bCs/>
          <w:sz w:val="20"/>
          <w:szCs w:val="20"/>
          <w:lang w:eastAsia="zh-CN"/>
        </w:rPr>
        <w:t xml:space="preserve"> of Blockchain</w:t>
      </w:r>
    </w:p>
    <w:p w14:paraId="79E7549A" w14:textId="77777777" w:rsidR="004452A0" w:rsidRDefault="004452A0" w:rsidP="004452A0">
      <w:pPr>
        <w:adjustRightInd w:val="0"/>
        <w:snapToGrid w:val="0"/>
        <w:spacing w:after="0" w:line="240" w:lineRule="auto"/>
        <w:jc w:val="both"/>
        <w:rPr>
          <w:sz w:val="20"/>
          <w:szCs w:val="20"/>
          <w:lang w:eastAsia="zh-CN"/>
        </w:rPr>
      </w:pPr>
      <w:r>
        <w:rPr>
          <w:sz w:val="20"/>
          <w:szCs w:val="20"/>
          <w:lang w:eastAsia="zh-CN"/>
        </w:rPr>
        <w:t xml:space="preserve">Blockchain has been adopted in many fields and has demonstrated its utility. A survey indicated that blockchain technology may strengthen information systems in terms of interoperability, efficiency, and elimination of third-party intermediary costs. </w:t>
      </w:r>
      <w:r>
        <w:rPr>
          <w:sz w:val="20"/>
          <w:szCs w:val="20"/>
          <w:lang w:eastAsia="zh-CN"/>
        </w:rPr>
        <w:fldChar w:fldCharType="begin"/>
      </w:r>
      <w:r>
        <w:rPr>
          <w:sz w:val="20"/>
          <w:szCs w:val="20"/>
          <w:lang w:eastAsia="zh-CN"/>
        </w:rPr>
        <w:instrText xml:space="preserve"> ADDIN ZOTERO_ITEM CSL_CITATION {"citationID":"a1gsg1p4q3d","properties":{"formattedCitation":"(Berdik et al., 2021)","plainCitation":"(Berdik et al., 2021)","noteIndex":0},"citationItems":[{"id":611,"uris":["http://zotero.org/users/8646247/items/PHLJ75IQ"],"itemData":{"id":611,"type":"article-journal","container-title":"Information Processing &amp; Management","DOI":"10.1016/j.ipm.2020.102397","ISSN":"03064573","issue":"1","journalAbbreviation":"Information Processing &amp; Management","language":"en","page":"102397","source":"DOI.org (Crossref)","title":"A Survey on Blockchain for Information Systems Management and Security","volume":"58","author":[{"family":"Berdik","given":"David"},{"family":"Otoum","given":"Safa"},{"family":"Schmidt","given":"Nikolas"},{"family":"Porter","given":"Dylan"},{"family":"Jararweh","given":"Yaser"}],"issued":{"date-parts":[["2021",1]]},"citation-key":"berdikSurveyBlockchainInformation2021"}}],"schema":"https://github.com/citation-style-language/schema/raw/master/csl-citation.json"} </w:instrText>
      </w:r>
      <w:r>
        <w:rPr>
          <w:sz w:val="20"/>
          <w:szCs w:val="20"/>
          <w:lang w:eastAsia="zh-CN"/>
        </w:rPr>
        <w:fldChar w:fldCharType="separate"/>
      </w:r>
      <w:r w:rsidRPr="00F76082">
        <w:rPr>
          <w:sz w:val="20"/>
        </w:rPr>
        <w:t>(Berdik et al., 2021)</w:t>
      </w:r>
      <w:r>
        <w:rPr>
          <w:sz w:val="20"/>
          <w:szCs w:val="20"/>
          <w:lang w:eastAsia="zh-CN"/>
        </w:rPr>
        <w:fldChar w:fldCharType="end"/>
      </w:r>
      <w:r>
        <w:rPr>
          <w:sz w:val="20"/>
          <w:szCs w:val="20"/>
          <w:lang w:eastAsia="zh-CN"/>
        </w:rPr>
        <w:t xml:space="preserve">. When it comes to specific cases, blockchain helps ensure data security and reshapes trust transfer in supply chain management </w:t>
      </w:r>
      <w:r>
        <w:rPr>
          <w:sz w:val="20"/>
          <w:szCs w:val="20"/>
          <w:lang w:eastAsia="zh-CN"/>
        </w:rPr>
        <w:fldChar w:fldCharType="begin"/>
      </w:r>
      <w:r>
        <w:rPr>
          <w:sz w:val="20"/>
          <w:szCs w:val="20"/>
          <w:lang w:eastAsia="zh-CN"/>
        </w:rPr>
        <w:instrText xml:space="preserve"> ADDIN ZOTERO_ITEM CSL_CITATION {"citationID":"a1fnh0tapne","properties":{"formattedCitation":"(Moosavi et al., 2021)","plainCitation":"(Moosavi et al., 2021)","noteIndex":0},"citationItems":[{"id":625,"uris":["http://zotero.org/users/8646247/items/UZJM494C"],"itemData":{"id":625,"type":"article-journal","abstract":"Blockchain is a distributed ledger technology that has attracted both practitioners and academics attention in recent years. Several conceptual and few empirical studies have been published focusing on addressing current issues and recommending the future research directions of supply chain management. To identify how blockchain can contribute to supply chain management, this paper conducts a systematic review through bibliometric and network analysis. We determined the key authors, significant studies, and the collaboration patterns that were not considered by the previous publications on this angel of supply chain management. Using citation and co-citation analysis, key supply chain areas that blockchain could contribute are pinpointed as supply chain management, finance, logistics, and security. Furthermore, it revealed that Internet of Things (IoT) and smart contracts are the leading emerging technologies in this field. The results of highly cited and co-cited articles demonstrate that blockchain could enhance transparency, traceability, efficiency, and information security in supply chain management. The analysis also revealed that empirical research is scarce in this field. Therefore, implementing blockchain in the real-world supply chain is a considerable future research opportunity.","container-title":"Environmental Science and Pollution Research","DOI":"10.1007/s11356-021-13094-3","ISSN":"1614-7499","journalAbbreviation":"Environ Sci Pollut Res","language":"en","license":"2021 The Author(s), under exclusive licence to Springer-Verlag GmbH, DE part of Springer Nature","note":"Company: Springer\nDistributor: Springer\nInstitution: Springer\nLabel: Springer\npublisher: Springer Berlin Heidelberg","page":"1-15","source":"link-springer-com-s.vpn.hhu.edu.cn:8118","title":"Blockchain in supply chain management: a review, bibliometric, and network analysis","title-short":"Blockchain in supply chain management","author":[{"family":"Moosavi","given":"Javid"},{"family":"Naeni","given":"Leila M."},{"family":"Fathollahi-Fard","given":"Amir M."},{"family":"Fiore","given":"Ugo"}],"issued":{"date-parts":[["2021",2,27]]},"citation-key":"moosaviBlockchainSupplyChain2021"}}],"schema":"https://github.com/citation-style-language/schema/raw/master/csl-citation.json"} </w:instrText>
      </w:r>
      <w:r>
        <w:rPr>
          <w:sz w:val="20"/>
          <w:szCs w:val="20"/>
          <w:lang w:eastAsia="zh-CN"/>
        </w:rPr>
        <w:fldChar w:fldCharType="separate"/>
      </w:r>
      <w:r w:rsidRPr="00F76082">
        <w:rPr>
          <w:sz w:val="20"/>
        </w:rPr>
        <w:t>(Moosavi et al., 2021)</w:t>
      </w:r>
      <w:r>
        <w:rPr>
          <w:sz w:val="20"/>
          <w:szCs w:val="20"/>
          <w:lang w:eastAsia="zh-CN"/>
        </w:rPr>
        <w:fldChar w:fldCharType="end"/>
      </w:r>
      <w:r>
        <w:rPr>
          <w:sz w:val="20"/>
          <w:szCs w:val="20"/>
          <w:lang w:eastAsia="zh-CN"/>
        </w:rPr>
        <w:t xml:space="preserve"> and other applications like federal learning</w:t>
      </w:r>
      <w:r>
        <w:rPr>
          <w:sz w:val="20"/>
          <w:szCs w:val="20"/>
          <w:lang w:eastAsia="zh-CN"/>
        </w:rPr>
        <w:fldChar w:fldCharType="begin"/>
      </w:r>
      <w:r>
        <w:rPr>
          <w:sz w:val="20"/>
          <w:szCs w:val="20"/>
          <w:lang w:eastAsia="zh-CN"/>
        </w:rPr>
        <w:instrText xml:space="preserve"> ADDIN ZOTERO_ITEM CSL_CITATION {"citationID":"a1u7aeoiptf","properties":{"formattedCitation":"(Toyoda et al., 2020)","plainCitation":"(Toyoda et al., 2020)","noteIndex":0},"citationItems":[{"id":643,"uris":["http://zotero.org/users/8646247/items/H4P4YLNN"],"itemData":{"id":643,"type":"article-journal","container-title":"IEEE Access","DOI":"10.1109/ACCESS.2020.3043037","ISSN":"2169-3536","journalAbbreviation":"IEEE Access","page":"219744-219756","source":"DOI.org (Crossref)","title":"Blockchain-Enabled Federated Learning With Mechanism Design","volume":"8","author":[{"family":"Toyoda","given":"Kentaroh"},{"family":"Zhao","given":"Jun"},{"family":"Zhang","given":"Allan Neng Sheng"},{"family":"Mathiopoulos","given":"P. Takis"}],"issued":{"date-parts":[["2020"]]},"citation-key":"toyodaBlockchainEnabledFederatedLearning2020"}}],"schema":"https://github.com/citation-style-language/schema/raw/master/csl-citation.json"} </w:instrText>
      </w:r>
      <w:r>
        <w:rPr>
          <w:sz w:val="20"/>
          <w:szCs w:val="20"/>
          <w:lang w:eastAsia="zh-CN"/>
        </w:rPr>
        <w:fldChar w:fldCharType="separate"/>
      </w:r>
      <w:r w:rsidRPr="00F76082">
        <w:rPr>
          <w:sz w:val="20"/>
        </w:rPr>
        <w:t>(Toyoda et al., 2020)</w:t>
      </w:r>
      <w:r>
        <w:rPr>
          <w:sz w:val="20"/>
          <w:szCs w:val="20"/>
          <w:lang w:eastAsia="zh-CN"/>
        </w:rPr>
        <w:fldChar w:fldCharType="end"/>
      </w:r>
      <w:r>
        <w:rPr>
          <w:sz w:val="20"/>
          <w:szCs w:val="20"/>
          <w:lang w:eastAsia="zh-CN"/>
        </w:rPr>
        <w:t xml:space="preserve">. In conclusion, the application of blockchain is both technological transformation and </w:t>
      </w:r>
      <w:bookmarkStart w:id="17" w:name="OLE_LINK581"/>
      <w:r>
        <w:rPr>
          <w:sz w:val="20"/>
          <w:szCs w:val="20"/>
          <w:lang w:eastAsia="zh-CN"/>
        </w:rPr>
        <w:t>mechanism remodeling</w:t>
      </w:r>
      <w:bookmarkEnd w:id="17"/>
      <w:r>
        <w:rPr>
          <w:sz w:val="20"/>
          <w:szCs w:val="20"/>
          <w:lang w:eastAsia="zh-CN"/>
        </w:rPr>
        <w:t xml:space="preserve"> to the traditional information system</w:t>
      </w:r>
      <w:r w:rsidRPr="00F933C7">
        <w:rPr>
          <w:rFonts w:hint="eastAsia"/>
          <w:sz w:val="20"/>
          <w:szCs w:val="20"/>
          <w:lang w:eastAsia="zh-CN"/>
        </w:rPr>
        <w:t>.</w:t>
      </w:r>
    </w:p>
    <w:p w14:paraId="3AA5A33D" w14:textId="77777777" w:rsidR="004452A0" w:rsidRPr="00910BA5" w:rsidRDefault="004452A0" w:rsidP="004452A0">
      <w:pPr>
        <w:adjustRightInd w:val="0"/>
        <w:snapToGrid w:val="0"/>
        <w:spacing w:after="0" w:line="240" w:lineRule="auto"/>
        <w:jc w:val="both"/>
        <w:rPr>
          <w:sz w:val="20"/>
          <w:szCs w:val="20"/>
          <w:lang w:eastAsia="zh-CN"/>
        </w:rPr>
      </w:pPr>
    </w:p>
    <w:p w14:paraId="7F742868" w14:textId="77777777" w:rsidR="004452A0" w:rsidRPr="00BA6723" w:rsidRDefault="004452A0" w:rsidP="004452A0">
      <w:pPr>
        <w:adjustRightInd w:val="0"/>
        <w:snapToGrid w:val="0"/>
        <w:spacing w:after="0" w:line="240" w:lineRule="auto"/>
        <w:jc w:val="both"/>
        <w:rPr>
          <w:sz w:val="20"/>
          <w:szCs w:val="20"/>
          <w:lang w:eastAsia="zh-CN"/>
        </w:rPr>
      </w:pPr>
      <w:r>
        <w:rPr>
          <w:sz w:val="20"/>
          <w:szCs w:val="20"/>
          <w:lang w:eastAsia="zh-CN"/>
        </w:rPr>
        <w:t>However, t</w:t>
      </w:r>
      <w:r w:rsidRPr="008E59D2">
        <w:rPr>
          <w:sz w:val="20"/>
          <w:szCs w:val="20"/>
          <w:lang w:eastAsia="zh-CN"/>
        </w:rPr>
        <w:t>here are relatively few studies</w:t>
      </w:r>
      <w:r>
        <w:rPr>
          <w:sz w:val="20"/>
          <w:szCs w:val="20"/>
          <w:lang w:eastAsia="zh-CN"/>
        </w:rPr>
        <w:t xml:space="preserve"> in th</w:t>
      </w:r>
      <w:r>
        <w:rPr>
          <w:rFonts w:hint="eastAsia"/>
          <w:sz w:val="20"/>
          <w:szCs w:val="20"/>
          <w:lang w:eastAsia="zh-CN"/>
        </w:rPr>
        <w:t>e</w:t>
      </w:r>
      <w:r>
        <w:rPr>
          <w:sz w:val="20"/>
          <w:szCs w:val="20"/>
          <w:lang w:eastAsia="zh-CN"/>
        </w:rPr>
        <w:t xml:space="preserve"> application of blockchain in </w:t>
      </w:r>
      <w:r>
        <w:rPr>
          <w:rFonts w:hint="eastAsia"/>
          <w:sz w:val="20"/>
          <w:szCs w:val="20"/>
          <w:lang w:eastAsia="zh-CN"/>
        </w:rPr>
        <w:t>mail</w:t>
      </w:r>
      <w:r>
        <w:rPr>
          <w:sz w:val="20"/>
          <w:szCs w:val="20"/>
          <w:lang w:eastAsia="zh-CN"/>
        </w:rPr>
        <w:t xml:space="preserve"> </w:t>
      </w:r>
      <w:r>
        <w:rPr>
          <w:rFonts w:hint="eastAsia"/>
          <w:sz w:val="20"/>
          <w:szCs w:val="20"/>
          <w:lang w:eastAsia="zh-CN"/>
        </w:rPr>
        <w:t>system</w:t>
      </w:r>
      <w:r>
        <w:rPr>
          <w:sz w:val="20"/>
          <w:szCs w:val="20"/>
          <w:lang w:eastAsia="zh-CN"/>
        </w:rPr>
        <w:t>s, and discussions in this field</w:t>
      </w:r>
      <w:r>
        <w:rPr>
          <w:rFonts w:hint="eastAsia"/>
          <w:sz w:val="20"/>
          <w:szCs w:val="20"/>
          <w:lang w:eastAsia="zh-CN"/>
        </w:rPr>
        <w:t xml:space="preserve"> </w:t>
      </w:r>
      <w:r>
        <w:rPr>
          <w:sz w:val="20"/>
          <w:szCs w:val="20"/>
          <w:lang w:eastAsia="zh-CN"/>
        </w:rPr>
        <w:t>are just focused on</w:t>
      </w:r>
      <w:r>
        <w:rPr>
          <w:rFonts w:hint="eastAsia"/>
          <w:sz w:val="20"/>
          <w:szCs w:val="20"/>
          <w:lang w:eastAsia="zh-CN"/>
        </w:rPr>
        <w:t xml:space="preserve"> </w:t>
      </w:r>
      <w:r>
        <w:rPr>
          <w:sz w:val="20"/>
          <w:szCs w:val="20"/>
          <w:lang w:eastAsia="zh-CN"/>
        </w:rPr>
        <w:t xml:space="preserve">data </w:t>
      </w:r>
      <w:r>
        <w:rPr>
          <w:rFonts w:hint="eastAsia"/>
          <w:sz w:val="20"/>
          <w:szCs w:val="20"/>
          <w:lang w:eastAsia="zh-CN"/>
        </w:rPr>
        <w:t>security</w:t>
      </w:r>
      <w:r>
        <w:rPr>
          <w:sz w:val="20"/>
          <w:szCs w:val="20"/>
          <w:lang w:eastAsia="zh-CN"/>
        </w:rPr>
        <w:t>. For example, when applied in email system, blockchain can enable u</w:t>
      </w:r>
      <w:r>
        <w:rPr>
          <w:rFonts w:hint="eastAsia"/>
          <w:sz w:val="20"/>
          <w:szCs w:val="20"/>
          <w:lang w:eastAsia="zh-CN"/>
        </w:rPr>
        <w:t>ser</w:t>
      </w:r>
      <w:r>
        <w:rPr>
          <w:sz w:val="20"/>
          <w:szCs w:val="20"/>
          <w:lang w:eastAsia="zh-CN"/>
        </w:rPr>
        <w:t>s to send and receive emails without a trusted third party (TTL). Specifically</w:t>
      </w:r>
      <w:r>
        <w:rPr>
          <w:rFonts w:hint="eastAsia"/>
          <w:sz w:val="20"/>
          <w:szCs w:val="20"/>
          <w:lang w:eastAsia="zh-CN"/>
        </w:rPr>
        <w:t>,</w:t>
      </w:r>
      <w:r>
        <w:rPr>
          <w:sz w:val="20"/>
          <w:szCs w:val="20"/>
          <w:lang w:eastAsia="zh-CN"/>
        </w:rPr>
        <w:t xml:space="preserve"> the mail sender in blockchain-based email system sends one key to the receiver and </w:t>
      </w:r>
      <w:r>
        <w:rPr>
          <w:rFonts w:hint="eastAsia"/>
          <w:sz w:val="20"/>
          <w:szCs w:val="20"/>
          <w:lang w:eastAsia="zh-CN"/>
        </w:rPr>
        <w:t>uploads</w:t>
      </w:r>
      <w:r>
        <w:rPr>
          <w:sz w:val="20"/>
          <w:szCs w:val="20"/>
          <w:lang w:eastAsia="zh-CN"/>
        </w:rPr>
        <w:t xml:space="preserve"> another key to the blockchain, and receiver can only decrypt the mail when having the two keys </w:t>
      </w:r>
      <w:r>
        <w:rPr>
          <w:sz w:val="20"/>
          <w:szCs w:val="20"/>
          <w:lang w:eastAsia="zh-CN"/>
        </w:rPr>
        <w:fldChar w:fldCharType="begin"/>
      </w:r>
      <w:r>
        <w:rPr>
          <w:sz w:val="20"/>
          <w:szCs w:val="20"/>
          <w:lang w:eastAsia="zh-CN"/>
        </w:rPr>
        <w:instrText xml:space="preserve"> ADDIN ZOTERO_ITEM CSL_CITATION {"citationID":"ao19pu0skc","properties":{"formattedCitation":"(Hinarejos et al., 2019; Hinarejos &amp; Ferrer-Gomila, 2020)","plainCitation":"(Hinarejos et al., 2019; Hinarejos &amp; Ferrer-Gomila, 2020)","noteIndex":0},"citationItems":[{"id":557,"uris":["http://zotero.org/users/8646247/items/U9SBY59F"],"itemData":{"id":557,"type":"article-journal","abstract":"The certiﬁed mail is a value-added service that is widely used in the paper world. However, the scientiﬁc community has not yet provided a solution for certiﬁed e-mail that has achieved widespread acceptance. This lack of a certiﬁed e-mail solution is not due to a lack of proposed approaches; because over the past 40 years, more than 100 protocols have been reported in journals and at conferences. The vast majority of these proposed protocols use a trusted third party (TTP) to achieve fairness. The few solutions without a TTP have not been successful due to their high computational and/or communication cost. Blockchain provides a new approach to develop the protocols without a TTP but without the prior drawbacks of the previous solutions without a TTP. Here, we present a new protocol for certiﬁed e-mail based on a blockchain without a conventional TTP that is integrated with the conventional e-mail infrastructure. The protocol is secure, efﬁcient, and viable from a practical perspective.","container-title":"IEEE Access","DOI":"10.1109/ACCESS.2019.2902174","ISSN":"2169-3536","journalAbbreviation":"IEEE Access","language":"en","page":"31330-31341","source":"DOI.org (Crossref)","title":"A Solution for Secure Certified Electronic Mail Using Blockchain as a Secure Message Board","volume":"7","author":[{"family":"Hinarejos","given":"M. Francisca"},{"family":"Ferrer-Gomila","given":"Josep-Lluis"},{"family":"Huguet-Rotger","given":"Llorenc"}],"issued":{"date-parts":[["2019"]]},"citation-key":"hinarejosSolutionSecureCertified2019"}},{"id":560,"uris":["http://zotero.org/users/8646247/items/3UNMLWZZ"],"itemData":{"id":560,"type":"article-journal","abstract":"In this article, we present the first solution for multi-party certified email that achieves fairness and confidentiality without the intervention of a TTP but with blockchain support when problems arise. Our solution preserves the confidentiality of the mail exchanged between the sender and the recipients even when the blockchain is involved. We provide a proof of concept implementation based on Ethereum smart contracts that shows it is feasible from a practical point of view. Because the functions of a smart contract are only executed on the blockchain in the case of conflict, costs are minimised compared to solutions that execute the functions on the blockchain in all cases (on-chain solutions). Moreover, the solution can be integrated into the existing email infrastructure.","container-title":"IEEE Access","DOI":"10.1109/ACCESS.2020.2998679","ISSN":"2169-3536","note":"event-title: IEEE Access","page":"102997-103006","source":"IEEE Xplore","title":"A Solution for Secure Multi-Party Certified Electronic Mail Using Blockchain","volume":"8","author":[{"family":"Hinarejos","given":"M. Francisca"},{"family":"Ferrer-Gomila","given":"Josep-Lluis"}],"issued":{"date-parts":[["2020"]]},"citation-key":"hinarejosSolutionSecureMultiParty2020"}}],"schema":"https://github.com/citation-style-language/schema/raw/master/csl-citation.json"} </w:instrText>
      </w:r>
      <w:r>
        <w:rPr>
          <w:sz w:val="20"/>
          <w:szCs w:val="20"/>
          <w:lang w:eastAsia="zh-CN"/>
        </w:rPr>
        <w:fldChar w:fldCharType="separate"/>
      </w:r>
      <w:r w:rsidRPr="001D09B8">
        <w:rPr>
          <w:sz w:val="20"/>
        </w:rPr>
        <w:t>(Hinarejos et al., 2019; Hinarejos &amp; Ferrer-Gomila, 2020)</w:t>
      </w:r>
      <w:r>
        <w:rPr>
          <w:sz w:val="20"/>
          <w:szCs w:val="20"/>
          <w:lang w:eastAsia="zh-CN"/>
        </w:rPr>
        <w:fldChar w:fldCharType="end"/>
      </w:r>
      <w:r>
        <w:rPr>
          <w:sz w:val="20"/>
          <w:szCs w:val="20"/>
          <w:lang w:eastAsia="zh-CN"/>
        </w:rPr>
        <w:t xml:space="preserve">. Although blockchain has been shown to improve data security of email systems, there are many potentials of blockchain in reshaping the incentive mechanism of spam reporting in email systems, which </w:t>
      </w:r>
      <w:proofErr w:type="gramStart"/>
      <w:r>
        <w:rPr>
          <w:sz w:val="20"/>
          <w:szCs w:val="20"/>
          <w:lang w:eastAsia="zh-CN"/>
        </w:rPr>
        <w:t>still remain</w:t>
      </w:r>
      <w:proofErr w:type="gramEnd"/>
      <w:r>
        <w:rPr>
          <w:sz w:val="20"/>
          <w:szCs w:val="20"/>
          <w:lang w:eastAsia="zh-CN"/>
        </w:rPr>
        <w:t xml:space="preserve"> unexplored.</w:t>
      </w:r>
      <w:bookmarkEnd w:id="16"/>
    </w:p>
    <w:bookmarkEnd w:id="13"/>
    <w:bookmarkEnd w:id="14"/>
    <w:bookmarkEnd w:id="15"/>
    <w:p w14:paraId="263F2867" w14:textId="77777777" w:rsidR="004452A0" w:rsidRPr="00C70430" w:rsidRDefault="004452A0" w:rsidP="004452A0">
      <w:pPr>
        <w:adjustRightInd w:val="0"/>
        <w:snapToGrid w:val="0"/>
        <w:spacing w:after="0" w:line="240" w:lineRule="auto"/>
        <w:jc w:val="both"/>
        <w:rPr>
          <w:sz w:val="20"/>
          <w:szCs w:val="20"/>
        </w:rPr>
      </w:pPr>
    </w:p>
    <w:p w14:paraId="5FFDAC64" w14:textId="77777777" w:rsidR="004452A0" w:rsidRPr="00C70430" w:rsidRDefault="004452A0" w:rsidP="004452A0">
      <w:pPr>
        <w:adjustRightInd w:val="0"/>
        <w:snapToGrid w:val="0"/>
        <w:spacing w:after="0" w:line="240" w:lineRule="auto"/>
        <w:jc w:val="both"/>
        <w:rPr>
          <w:rFonts w:eastAsia="DFKai-SB"/>
          <w:b/>
          <w:sz w:val="20"/>
          <w:szCs w:val="20"/>
        </w:rPr>
      </w:pPr>
      <w:bookmarkStart w:id="18" w:name="_Hlk113451246"/>
      <w:r w:rsidRPr="00C70430">
        <w:rPr>
          <w:rFonts w:eastAsia="DFKai-SB"/>
          <w:b/>
          <w:sz w:val="20"/>
          <w:szCs w:val="20"/>
        </w:rPr>
        <w:t>Blockchain-based Token Incentive</w:t>
      </w:r>
      <w:r>
        <w:rPr>
          <w:rFonts w:eastAsia="DFKai-SB"/>
          <w:b/>
          <w:sz w:val="20"/>
          <w:szCs w:val="20"/>
        </w:rPr>
        <w:t>s</w:t>
      </w:r>
    </w:p>
    <w:bookmarkEnd w:id="18"/>
    <w:p w14:paraId="21CB6247"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Blockchain</w:t>
      </w:r>
      <w:r>
        <w:rPr>
          <w:sz w:val="20"/>
          <w:szCs w:val="20"/>
        </w:rPr>
        <w:t>-based</w:t>
      </w:r>
      <w:r w:rsidRPr="00C70430">
        <w:rPr>
          <w:sz w:val="20"/>
          <w:szCs w:val="20"/>
        </w:rPr>
        <w:t xml:space="preserve"> token incentive</w:t>
      </w:r>
      <w:r>
        <w:rPr>
          <w:sz w:val="20"/>
          <w:szCs w:val="20"/>
        </w:rPr>
        <w:t>s</w:t>
      </w:r>
      <w:r w:rsidRPr="00C70430">
        <w:rPr>
          <w:sz w:val="20"/>
          <w:szCs w:val="20"/>
        </w:rPr>
        <w:t xml:space="preserve"> refer to the method of</w:t>
      </w:r>
      <w:r>
        <w:rPr>
          <w:sz w:val="20"/>
          <w:szCs w:val="20"/>
        </w:rPr>
        <w:t xml:space="preserve"> smartly</w:t>
      </w:r>
      <w:r w:rsidRPr="00C70430">
        <w:rPr>
          <w:sz w:val="20"/>
          <w:szCs w:val="20"/>
        </w:rPr>
        <w:t xml:space="preserve"> issuing blockchain</w:t>
      </w:r>
      <w:r>
        <w:rPr>
          <w:sz w:val="20"/>
          <w:szCs w:val="20"/>
        </w:rPr>
        <w:t>-based</w:t>
      </w:r>
      <w:r w:rsidRPr="00C70430">
        <w:rPr>
          <w:sz w:val="20"/>
          <w:szCs w:val="20"/>
        </w:rPr>
        <w:t xml:space="preserve"> tokens </w:t>
      </w:r>
      <w:r>
        <w:rPr>
          <w:sz w:val="20"/>
          <w:szCs w:val="20"/>
        </w:rPr>
        <w:t>as</w:t>
      </w:r>
      <w:r w:rsidRPr="00C70430">
        <w:rPr>
          <w:sz w:val="20"/>
          <w:szCs w:val="20"/>
        </w:rPr>
        <w:t xml:space="preserve"> </w:t>
      </w:r>
      <w:r>
        <w:rPr>
          <w:sz w:val="20"/>
          <w:szCs w:val="20"/>
        </w:rPr>
        <w:t>rewards.</w:t>
      </w:r>
      <w:r w:rsidRPr="00C70430">
        <w:rPr>
          <w:sz w:val="20"/>
          <w:szCs w:val="20"/>
        </w:rPr>
        <w:t xml:space="preserve"> </w:t>
      </w:r>
      <w:r>
        <w:rPr>
          <w:sz w:val="20"/>
          <w:szCs w:val="20"/>
        </w:rPr>
        <w:t>M</w:t>
      </w:r>
      <w:r w:rsidRPr="00C70430">
        <w:rPr>
          <w:sz w:val="20"/>
          <w:szCs w:val="20"/>
        </w:rPr>
        <w:t xml:space="preserve">any studies have summarized its </w:t>
      </w:r>
      <w:r>
        <w:rPr>
          <w:sz w:val="20"/>
          <w:szCs w:val="20"/>
        </w:rPr>
        <w:t>distinct</w:t>
      </w:r>
      <w:r w:rsidRPr="00C70430">
        <w:rPr>
          <w:sz w:val="20"/>
          <w:szCs w:val="20"/>
        </w:rPr>
        <w:t xml:space="preserve"> application value. </w:t>
      </w:r>
      <w:r>
        <w:rPr>
          <w:sz w:val="20"/>
          <w:szCs w:val="20"/>
        </w:rPr>
        <w:t xml:space="preserve">The decentralized structure of blockchain tokens promotes user-to-user transactions by resolving the trust and privacy challenges that plague traditional centralized systems. Additionally, it facilitates the establishment of a token economy with substantial monetary value that can provide users with substantial economic returns </w:t>
      </w:r>
      <w:r w:rsidRPr="00C70430">
        <w:rPr>
          <w:sz w:val="20"/>
          <w:szCs w:val="20"/>
        </w:rPr>
        <w:fldChar w:fldCharType="begin"/>
      </w:r>
      <w:r>
        <w:rPr>
          <w:sz w:val="20"/>
          <w:szCs w:val="20"/>
        </w:rPr>
        <w:instrText xml:space="preserve"> ADDIN ZOTERO_ITEM CSL_CITATION {"citationID":"z2gwK5dQ","properties":{"formattedCitation":"(Thelwall, 2018)","plainCitation":"(Thelwall, 2018)","noteIndex":0},"citationItems":[{"id":687,"uris":["http://zotero.org/users/8646247/items/4G2DPC7H"],"itemData":{"id":687,"type":"article-journal","abstract":"SteemIt is a Reddit-like social news site that pays members for posting and curating content. It uses micropayments backed by a tradeable currency, exploiting the Bitcoin cryptocurrency generation model to finance content provision in conjunction with advertising. If successful, this paradigm might change the way in which volunteer-based sites operate. This article investigates 925,092 new members’ first posts for insights into what drives financial success in the site. Initial blog posts on average received US$0.01, although the maximum accrued was US$20,680.83. Longer, more sentiment-rich or more positive comments with personal information received the greatest financial reward in contrast to more informational or topical content. Thus, there is a clear financial value in starting with a friendly introduction rather than immediately attempting to provide useful content, despite the latter being the ultimate site goal. Follow-up posts also tended to be more successful when more personal, suggesting that interpersonal communication rather than quality content provision has driven the site so far. It remains to be seen whether the model of small typical rewards and the possibility that a post might generate substantially more are enough to incentivise long-term participation or a greater focus on informational posts in the long term.","container-title":"Journal of Information Science","DOI":"10.1177/0165551517748290","ISSN":"0165-5515, 1741-6485","issue":"6","journalAbbreviation":"Journal of Information Science","language":"en","page":"736-751","source":"DOI.org (Crossref)","title":"Can social news websites pay for content and curation? The SteemIt cryptocurrency model","title-short":"Can social news websites pay for content and curation?","volume":"44","author":[{"family":"Thelwall","given":"Mike"}],"issued":{"date-parts":[["2018",12]]},"citation-key":"thelwallCanSocialNews2018"}}],"schema":"https://github.com/citation-style-language/schema/raw/master/csl-citation.json"} </w:instrText>
      </w:r>
      <w:r w:rsidRPr="00C70430">
        <w:rPr>
          <w:sz w:val="20"/>
          <w:szCs w:val="20"/>
        </w:rPr>
        <w:fldChar w:fldCharType="separate"/>
      </w:r>
      <w:r>
        <w:rPr>
          <w:sz w:val="20"/>
          <w:szCs w:val="20"/>
        </w:rPr>
        <w:t>(Thelwall, 2018)</w:t>
      </w:r>
      <w:r w:rsidRPr="00C70430">
        <w:rPr>
          <w:sz w:val="20"/>
          <w:szCs w:val="20"/>
        </w:rPr>
        <w:fldChar w:fldCharType="end"/>
      </w:r>
      <w:r>
        <w:rPr>
          <w:sz w:val="20"/>
          <w:szCs w:val="20"/>
        </w:rPr>
        <w:t>,</w:t>
      </w:r>
      <w:r w:rsidRPr="00C70430">
        <w:rPr>
          <w:sz w:val="20"/>
          <w:szCs w:val="20"/>
        </w:rPr>
        <w:t xml:space="preserve"> which is beneficial for online platforms to attract </w:t>
      </w:r>
      <w:r>
        <w:rPr>
          <w:sz w:val="20"/>
          <w:szCs w:val="20"/>
        </w:rPr>
        <w:t>early users and</w:t>
      </w:r>
      <w:r w:rsidRPr="00C70430">
        <w:rPr>
          <w:sz w:val="20"/>
          <w:szCs w:val="20"/>
        </w:rPr>
        <w:t xml:space="preserve"> to solve the "chicken or egg" conundrum </w:t>
      </w:r>
      <w:r w:rsidRPr="00C70430">
        <w:rPr>
          <w:sz w:val="20"/>
          <w:szCs w:val="20"/>
        </w:rPr>
        <w:lastRenderedPageBreak/>
        <w:fldChar w:fldCharType="begin"/>
      </w:r>
      <w:r>
        <w:rPr>
          <w:sz w:val="20"/>
          <w:szCs w:val="20"/>
        </w:rPr>
        <w:instrText xml:space="preserve"> ADDIN ZOTERO_ITEM CSL_CITATION {"citationID":"7qux8mX8","properties":{"formattedCitation":"(Drasch et al., 2020)","plainCitation":"(Drasch et al., 2020)","noteIndex":0},"citationItems":[{"id":672,"uris":["http://zotero.org/users/8646247/items/VVCK3GNP"],"itemData":{"id":672,"type":"article-journal","abstract":"Abstract\n            Multi-sided platforms are omnipresent in today’s digital world. However, establishing a platform includes challenges: The platform utility usually increases with the number of participants. At an early stage, potential participants expect the platform utility to be low and lack an incentive to join (i.e., “chicken and egg” problem). Blockchain-enabled utility tokens hold the promise to overcome this problem. They supposedly provide a suitable financial incentive for their owners to join the platform as soon as possible. In the first half of 2018, investors seemed to believe in the presumption and spent more than US$ 17.6 billion in token sales. To date, we know little about this financial incentive in the context of the token economy. For this purpose, we model the token value development and the associated incentives in a multi-sided blockchain-enabled platform. The resulting findings suggest that blockchain-enabled utility tokens can help to overcome the “chicken and egg” problem. However, these tokens lead to contradictory incentives for platform participants, and can even inhibit platform usage. The contribution of our work is twofold: First, we develop one of the first models for token value development. Second, our research contributes to a deeper understanding of the utility token’s financial incentive.","container-title":"Electronic Markets","DOI":"10.1007/s12525-020-00412-9","ISSN":"1019-6781, 1422-8890","issue":"3","journalAbbreviation":"Electron Markets","language":"en","page":"557-567","source":"DOI.org (Crossref)","title":"The token’s secret: the two-faced financial incentive of the token economy","title-short":"The token’s secret","volume":"30","author":[{"family":"Drasch","given":"Benedict J."},{"family":"Fridgen","given":"Gilbert"},{"family":"Manner-Romberg","given":"Tobias"},{"family":"Nolting","given":"Fenja M."},{"family":"Radszuwill","given":"Sven"}],"issued":{"date-parts":[["2020",9]]},"citation-key":"draschTokenSecretTwofaced2020"}}],"schema":"https://github.com/citation-style-language/schema/raw/master/csl-citation.json"} </w:instrText>
      </w:r>
      <w:r w:rsidRPr="00C70430">
        <w:rPr>
          <w:sz w:val="20"/>
          <w:szCs w:val="20"/>
        </w:rPr>
        <w:fldChar w:fldCharType="separate"/>
      </w:r>
      <w:r>
        <w:rPr>
          <w:sz w:val="20"/>
          <w:szCs w:val="20"/>
        </w:rPr>
        <w:t>(Drasch et al., 2020)</w:t>
      </w:r>
      <w:r w:rsidRPr="00C70430">
        <w:rPr>
          <w:sz w:val="20"/>
          <w:szCs w:val="20"/>
        </w:rPr>
        <w:fldChar w:fldCharType="end"/>
      </w:r>
      <w:r w:rsidRPr="00C70430">
        <w:rPr>
          <w:sz w:val="20"/>
          <w:szCs w:val="20"/>
        </w:rPr>
        <w:t>.</w:t>
      </w:r>
      <w:r>
        <w:rPr>
          <w:sz w:val="20"/>
          <w:szCs w:val="20"/>
        </w:rPr>
        <w:t xml:space="preserve"> The following three application aspects of blockchain-based token incentives have been intensively investigated:</w:t>
      </w:r>
      <w:bookmarkStart w:id="19" w:name="OLE_LINK35"/>
    </w:p>
    <w:bookmarkEnd w:id="19"/>
    <w:p w14:paraId="1286117E" w14:textId="77777777" w:rsidR="004452A0" w:rsidRPr="00C70430" w:rsidRDefault="004452A0" w:rsidP="004452A0">
      <w:pPr>
        <w:adjustRightInd w:val="0"/>
        <w:snapToGrid w:val="0"/>
        <w:spacing w:after="0" w:line="240" w:lineRule="auto"/>
        <w:jc w:val="both"/>
        <w:rPr>
          <w:sz w:val="20"/>
          <w:szCs w:val="20"/>
        </w:rPr>
      </w:pPr>
    </w:p>
    <w:p w14:paraId="3C59BE21"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(1) The blockchain's decentralized structure and the automatically executed smart contract </w:t>
      </w:r>
      <w:r>
        <w:rPr>
          <w:sz w:val="20"/>
          <w:szCs w:val="20"/>
        </w:rPr>
        <w:t>enable</w:t>
      </w:r>
      <w:r w:rsidRPr="00C70430">
        <w:rPr>
          <w:sz w:val="20"/>
          <w:szCs w:val="20"/>
        </w:rPr>
        <w:t xml:space="preserve"> convenient</w:t>
      </w:r>
      <w:r>
        <w:rPr>
          <w:sz w:val="20"/>
          <w:szCs w:val="20"/>
        </w:rPr>
        <w:t>, low-cost and secure</w:t>
      </w:r>
      <w:r w:rsidRPr="00C70430">
        <w:rPr>
          <w:sz w:val="20"/>
          <w:szCs w:val="20"/>
        </w:rPr>
        <w:t xml:space="preserve"> transactions </w:t>
      </w:r>
      <w:r>
        <w:rPr>
          <w:sz w:val="20"/>
          <w:szCs w:val="20"/>
        </w:rPr>
        <w:t>between</w:t>
      </w:r>
      <w:r w:rsidRPr="00C70430">
        <w:rPr>
          <w:sz w:val="20"/>
          <w:szCs w:val="20"/>
        </w:rPr>
        <w:t xml:space="preserve"> users</w:t>
      </w:r>
      <w:r>
        <w:rPr>
          <w:sz w:val="20"/>
          <w:szCs w:val="20"/>
        </w:rPr>
        <w:t xml:space="preserve">, meeting the </w:t>
      </w:r>
      <w:r w:rsidRPr="00C70430">
        <w:rPr>
          <w:sz w:val="20"/>
          <w:szCs w:val="20"/>
        </w:rPr>
        <w:t xml:space="preserve">needs </w:t>
      </w:r>
      <w:r>
        <w:rPr>
          <w:sz w:val="20"/>
          <w:szCs w:val="20"/>
        </w:rPr>
        <w:t>of</w:t>
      </w:r>
      <w:r w:rsidRPr="00C70430">
        <w:rPr>
          <w:sz w:val="20"/>
          <w:szCs w:val="20"/>
        </w:rPr>
        <w:t xml:space="preserve"> many fields. </w:t>
      </w:r>
      <w:r w:rsidRPr="00C70430">
        <w:rPr>
          <w:sz w:val="20"/>
          <w:szCs w:val="20"/>
        </w:rPr>
        <w:fldChar w:fldCharType="begin"/>
      </w:r>
      <w:r w:rsidRPr="00C70430">
        <w:rPr>
          <w:sz w:val="20"/>
          <w:szCs w:val="20"/>
        </w:rPr>
        <w:instrText xml:space="preserve"> ADDIN ZOTERO_ITEM CSL_CITATION {"citationID":"fADYCmc4","properties":{"formattedCitation":"(ImaniMehr and DehghanTakhtFooladi, 2019)","plainCitation":"(ImaniMehr and DehghanTakhtFooladi, 2019)","dontUpdate":true,"noteIndex":0},"citationItems":[{"id":1106,"uris":["http://zotero.org/users/8646247/items/ABNDHWNR"],"itemData":{"id":1106,"type":"article-journal","container-title":"The Journal of Supercomputing","DOI":"10.1007/s11227-019-02863-0","ISSN":"0920-8542, 1573-0484","issue":"10","journalAbbreviation":"J Supercomput","language":"en","page":"6612-6631","source":"DOI.org (Crossref)","title":"Token-based incentive mechanism for peer-to-peer video streaming networks","volume":"75","author":[{"family":"ImaniMehr","given":"Zahra"},{"family":"DehghanTakhtFooladi","given":"Mehdi"}],"issued":{"date-parts":[["2019",10]]},"citation-key":"imanimehrTokenbasedIncentiveMechanism2019"}}],"schema":"https://github.com/citation-style-language/schema/raw/master/csl-citation.json"} </w:instrText>
      </w:r>
      <w:r w:rsidRPr="00C70430">
        <w:rPr>
          <w:sz w:val="20"/>
          <w:szCs w:val="20"/>
        </w:rPr>
        <w:fldChar w:fldCharType="separate"/>
      </w:r>
      <w:r w:rsidRPr="00C70430">
        <w:rPr>
          <w:sz w:val="20"/>
          <w:szCs w:val="20"/>
        </w:rPr>
        <w:t>ImaniMehr and DehghanTakhtFooladi (2019)</w:t>
      </w:r>
      <w:r w:rsidRPr="00C70430">
        <w:rPr>
          <w:sz w:val="20"/>
          <w:szCs w:val="20"/>
        </w:rPr>
        <w:fldChar w:fldCharType="end"/>
      </w:r>
      <w:r w:rsidRPr="00C70430">
        <w:rPr>
          <w:sz w:val="20"/>
          <w:szCs w:val="20"/>
        </w:rPr>
        <w:t xml:space="preserve"> created a token incentive mechanism for P2P streaming media transmission so that users can </w:t>
      </w:r>
      <w:r>
        <w:rPr>
          <w:sz w:val="20"/>
          <w:szCs w:val="20"/>
        </w:rPr>
        <w:t>gain the most benefit</w:t>
      </w:r>
      <w:r w:rsidRPr="00C70430">
        <w:rPr>
          <w:sz w:val="20"/>
          <w:szCs w:val="20"/>
        </w:rPr>
        <w:t xml:space="preserve"> </w:t>
      </w:r>
      <w:r>
        <w:rPr>
          <w:sz w:val="20"/>
          <w:szCs w:val="20"/>
        </w:rPr>
        <w:t>from</w:t>
      </w:r>
      <w:r w:rsidRPr="00C70430">
        <w:rPr>
          <w:sz w:val="20"/>
          <w:szCs w:val="20"/>
        </w:rPr>
        <w:t xml:space="preserve"> donating their own network resources, hence improving the overall performance of streaming media transmission. In order to overcome the current challenges with distributed renewable energy trading and generation,  </w:t>
      </w:r>
      <w:bookmarkStart w:id="20" w:name="OLE_LINK619"/>
      <w:r w:rsidRPr="00356F31">
        <w:rPr>
          <w:sz w:val="20"/>
          <w:szCs w:val="20"/>
        </w:rPr>
        <w:fldChar w:fldCharType="begin"/>
      </w:r>
      <w:r w:rsidRPr="00356F31">
        <w:rPr>
          <w:sz w:val="20"/>
          <w:szCs w:val="20"/>
        </w:rPr>
        <w:instrText xml:space="preserve"> ADDIN ZOTERO_ITEM CSL_CITATION {"citationID":"aga2eic8uo","properties":{"formattedCitation":"\\uldash{(Wang et al., 2019)}","plainCitation":"(Wang et al., 2019)","dontUpdate":true,"noteIndex":0},"citationItems":[{"id":2398,"uris":["http://zotero.org/users/8646247/items/KRMXQMA5"],"itemData":{"id":2398,"type":"article-journal","container-title":"Applied Energy","DOI":"10.1016/j.apenergy.2019.113471","ISSN":"03062619","journalAbbreviation":"Applied Energy","language":"en","page":"113471","source":"DOI.org (Crossref)","title":"Incentivizing distributed energy resource aggregation in energy and capacity markets: An energy sharing scheme and mechanism design","title-short":"Incentivizing distributed energy resource aggregation in energy and capacity markets","volume":"252","author":[{"family":"Wang","given":"Jianxiao"},{"family":"Zhong","given":"Haiwang"},{"family":"Wu","given":"Chenye"},{"family":"Du","given":"Ershun"},{"family":"Xia","given":"Qing"},{"family":"Kang","given":"Chongqing"}],"issued":{"date-parts":[["2019",10]]},"citation-key":"wangIncentivizingDistributedEnergy2019"}}],"schema":"https://github.com/citation-style-language/schema/raw/master/csl-citation.json"} </w:instrText>
      </w:r>
      <w:r w:rsidRPr="00356F31">
        <w:rPr>
          <w:sz w:val="20"/>
          <w:szCs w:val="20"/>
        </w:rPr>
        <w:fldChar w:fldCharType="separate"/>
      </w:r>
      <w:r w:rsidRPr="00E04F6F">
        <w:rPr>
          <w:sz w:val="20"/>
        </w:rPr>
        <w:t>Wang et al. (2019)</w:t>
      </w:r>
      <w:r w:rsidRPr="00356F31">
        <w:rPr>
          <w:sz w:val="20"/>
          <w:szCs w:val="20"/>
        </w:rPr>
        <w:fldChar w:fldCharType="end"/>
      </w:r>
      <w:bookmarkEnd w:id="20"/>
      <w:r>
        <w:rPr>
          <w:sz w:val="20"/>
          <w:szCs w:val="20"/>
        </w:rPr>
        <w:t xml:space="preserve"> </w:t>
      </w:r>
      <w:r w:rsidRPr="00C70430">
        <w:rPr>
          <w:sz w:val="20"/>
          <w:szCs w:val="20"/>
        </w:rPr>
        <w:t xml:space="preserve">developed a token-based incentive mechanism for distributed renewable energy, </w:t>
      </w:r>
      <w:r>
        <w:rPr>
          <w:sz w:val="20"/>
          <w:szCs w:val="20"/>
        </w:rPr>
        <w:t>and set up</w:t>
      </w:r>
      <w:r w:rsidRPr="00C70430">
        <w:rPr>
          <w:sz w:val="20"/>
          <w:szCs w:val="20"/>
        </w:rPr>
        <w:t xml:space="preserve"> a decentralized power</w:t>
      </w:r>
      <w:r>
        <w:rPr>
          <w:sz w:val="20"/>
          <w:szCs w:val="20"/>
        </w:rPr>
        <w:t xml:space="preserve"> trading</w:t>
      </w:r>
      <w:r w:rsidRPr="00C70430">
        <w:rPr>
          <w:sz w:val="20"/>
          <w:szCs w:val="20"/>
        </w:rPr>
        <w:t xml:space="preserve"> system. The network resources and electricity </w:t>
      </w:r>
      <w:r>
        <w:rPr>
          <w:sz w:val="20"/>
          <w:szCs w:val="20"/>
        </w:rPr>
        <w:t>contributed</w:t>
      </w:r>
      <w:r w:rsidRPr="00C70430">
        <w:rPr>
          <w:sz w:val="20"/>
          <w:szCs w:val="20"/>
        </w:rPr>
        <w:t xml:space="preserve"> by users may be easily quantified and confirmed with</w:t>
      </w:r>
      <w:r>
        <w:rPr>
          <w:sz w:val="20"/>
          <w:szCs w:val="20"/>
        </w:rPr>
        <w:t xml:space="preserve"> very low cost.</w:t>
      </w:r>
    </w:p>
    <w:p w14:paraId="59DFCA09" w14:textId="77777777" w:rsidR="004452A0" w:rsidRPr="00C70430" w:rsidRDefault="004452A0" w:rsidP="004452A0">
      <w:pPr>
        <w:adjustRightInd w:val="0"/>
        <w:snapToGrid w:val="0"/>
        <w:spacing w:after="0" w:line="240" w:lineRule="auto"/>
        <w:jc w:val="both"/>
        <w:rPr>
          <w:sz w:val="20"/>
          <w:szCs w:val="20"/>
        </w:rPr>
      </w:pPr>
    </w:p>
    <w:p w14:paraId="79569122"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(2) </w:t>
      </w:r>
      <w:r>
        <w:rPr>
          <w:sz w:val="20"/>
          <w:szCs w:val="20"/>
        </w:rPr>
        <w:t>T</w:t>
      </w:r>
      <w:r w:rsidRPr="00C70430">
        <w:rPr>
          <w:sz w:val="20"/>
          <w:szCs w:val="20"/>
        </w:rPr>
        <w:t xml:space="preserve">he transparency of token incentive rules and the non-tampering of </w:t>
      </w:r>
      <w:r>
        <w:rPr>
          <w:sz w:val="20"/>
          <w:szCs w:val="20"/>
        </w:rPr>
        <w:t>blockchain</w:t>
      </w:r>
      <w:r w:rsidRPr="00C70430">
        <w:rPr>
          <w:sz w:val="20"/>
          <w:szCs w:val="20"/>
        </w:rPr>
        <w:t xml:space="preserve"> data can </w:t>
      </w:r>
      <w:r>
        <w:rPr>
          <w:sz w:val="20"/>
          <w:szCs w:val="20"/>
        </w:rPr>
        <w:t>aid in</w:t>
      </w:r>
      <w:r w:rsidRPr="00C70430">
        <w:rPr>
          <w:sz w:val="20"/>
          <w:szCs w:val="20"/>
        </w:rPr>
        <w:t xml:space="preserve"> </w:t>
      </w:r>
      <w:r>
        <w:rPr>
          <w:sz w:val="20"/>
          <w:szCs w:val="20"/>
        </w:rPr>
        <w:t>eliminating</w:t>
      </w:r>
      <w:r w:rsidRPr="00C70430">
        <w:rPr>
          <w:sz w:val="20"/>
          <w:szCs w:val="20"/>
        </w:rPr>
        <w:t xml:space="preserve"> the</w:t>
      </w:r>
      <w:r>
        <w:rPr>
          <w:sz w:val="20"/>
          <w:szCs w:val="20"/>
        </w:rPr>
        <w:t xml:space="preserve"> concerns of</w:t>
      </w:r>
      <w:r w:rsidRPr="00C70430">
        <w:rPr>
          <w:sz w:val="20"/>
          <w:szCs w:val="20"/>
        </w:rPr>
        <w:t xml:space="preserve"> </w:t>
      </w:r>
      <w:r>
        <w:rPr>
          <w:sz w:val="20"/>
          <w:szCs w:val="20"/>
        </w:rPr>
        <w:t>unfairness</w:t>
      </w:r>
      <w:r w:rsidRPr="00C70430">
        <w:rPr>
          <w:sz w:val="20"/>
          <w:szCs w:val="20"/>
        </w:rPr>
        <w:t xml:space="preserve">. </w:t>
      </w:r>
      <w:r w:rsidRPr="00C70430">
        <w:rPr>
          <w:sz w:val="20"/>
          <w:szCs w:val="20"/>
        </w:rPr>
        <w:fldChar w:fldCharType="begin"/>
      </w:r>
      <w:r>
        <w:rPr>
          <w:sz w:val="20"/>
          <w:szCs w:val="20"/>
        </w:rPr>
        <w:instrText xml:space="preserve"> ADDIN ZOTERO_ITEM CSL_CITATION {"citationID":"rjGhAV9n","properties":{"formattedCitation":"(Gong &amp; Fan, 2019)","plainCitation":"(Gong &amp; Fan, 2019)","dontUpdate":true,"noteIndex":0},"citationItems":[{"id":1108,"uris":["http://zotero.org/users/8646247/items/9Z2Y8Q8B"],"itemData":{"id":1108,"type":"article-journal","container-title":"Cluster Computing","DOI":"10.1007/s10586-018-2471-x","ISSN":"1386-7857, 1573-7543","issue":"S2","journalAbbreviation":"Cluster Comput","language":"en","page":"5025-5031","source":"DOI.org (Crossref)","title":"Research on the dynamic incentive mechanism of information sharing in social network services based on reputation mechanism","volume":"22","author":[{"family":"Gong","given":"Yanping"},{"family":"Fan","given":"Peng"}],"issued":{"date-parts":[["2019",3]]},"citation-key":"gongResearchDynamicIncentive2019"}}],"schema":"https://github.com/citation-style-language/schema/raw/master/csl-citation.json"} </w:instrText>
      </w:r>
      <w:r w:rsidRPr="00C70430">
        <w:rPr>
          <w:sz w:val="20"/>
          <w:szCs w:val="20"/>
        </w:rPr>
        <w:fldChar w:fldCharType="separate"/>
      </w:r>
      <w:r>
        <w:rPr>
          <w:sz w:val="20"/>
          <w:szCs w:val="20"/>
        </w:rPr>
        <w:t>Gong &amp; Fan (2019)</w:t>
      </w:r>
      <w:r w:rsidRPr="00C70430">
        <w:rPr>
          <w:sz w:val="20"/>
          <w:szCs w:val="20"/>
        </w:rPr>
        <w:fldChar w:fldCharType="end"/>
      </w:r>
      <w:r w:rsidRPr="00C70430">
        <w:rPr>
          <w:sz w:val="20"/>
          <w:szCs w:val="20"/>
        </w:rPr>
        <w:t xml:space="preserve"> applied token incentive mechanism to information sharing behavior in</w:t>
      </w:r>
      <w:r>
        <w:rPr>
          <w:sz w:val="20"/>
          <w:szCs w:val="20"/>
        </w:rPr>
        <w:t xml:space="preserve"> the scenario of</w:t>
      </w:r>
      <w:r w:rsidRPr="00C70430">
        <w:rPr>
          <w:sz w:val="20"/>
          <w:szCs w:val="20"/>
        </w:rPr>
        <w:t xml:space="preserve"> </w:t>
      </w:r>
      <w:r>
        <w:rPr>
          <w:sz w:val="20"/>
          <w:szCs w:val="20"/>
        </w:rPr>
        <w:t xml:space="preserve">online marketing. </w:t>
      </w:r>
      <w:r w:rsidRPr="009B0C85">
        <w:rPr>
          <w:sz w:val="20"/>
          <w:szCs w:val="20"/>
        </w:rPr>
        <w:t>They linked the token</w:t>
      </w:r>
      <w:r>
        <w:rPr>
          <w:sz w:val="20"/>
          <w:szCs w:val="20"/>
        </w:rPr>
        <w:t>s</w:t>
      </w:r>
      <w:r w:rsidRPr="009B0C85">
        <w:rPr>
          <w:sz w:val="20"/>
          <w:szCs w:val="20"/>
        </w:rPr>
        <w:t xml:space="preserve"> to the use</w:t>
      </w:r>
      <w:r>
        <w:rPr>
          <w:sz w:val="20"/>
          <w:szCs w:val="20"/>
        </w:rPr>
        <w:t>s’</w:t>
      </w:r>
      <w:r w:rsidRPr="009B0C85">
        <w:rPr>
          <w:sz w:val="20"/>
          <w:szCs w:val="20"/>
        </w:rPr>
        <w:t xml:space="preserve"> reputation in an equitable manner to ensure the reputation's veracity and to boost the marketers' willingness and quality of information sharing</w:t>
      </w:r>
      <w:r w:rsidRPr="00C70430">
        <w:rPr>
          <w:sz w:val="20"/>
          <w:szCs w:val="20"/>
        </w:rPr>
        <w:t xml:space="preserve">. </w:t>
      </w:r>
      <w:r w:rsidRPr="00C70430">
        <w:rPr>
          <w:sz w:val="20"/>
          <w:szCs w:val="20"/>
        </w:rPr>
        <w:fldChar w:fldCharType="begin"/>
      </w:r>
      <w:r>
        <w:rPr>
          <w:sz w:val="20"/>
          <w:szCs w:val="20"/>
        </w:rPr>
        <w:instrText xml:space="preserve"> ADDIN ZOTERO_ITEM CSL_CITATION {"citationID":"B8GOEvgc","properties":{"formattedCitation":"(Weng et al., 2019)","plainCitation":"(Weng et al., 2019)","dontUpdate":true,"noteIndex":0},"citationItems":[{"id":678,"uris":["http://zotero.org/users/8646247/items/29KHMY5I"],"itemData":{"id":678,"type":"article-journal","container-title":"IEEE Transactions on Dependable and Secure Computing","DOI":"10.1109/TDSC.2019.2952332","ISSN":"1545-5971, 1941-0018, 2160-9209","journalAbbreviation":"IEEE Trans. Dependable and Secure Comput.","page":"1-1","source":"DOI.org (Crossref)","title":"DeepChain: Auditable and Privacy-Preserving Deep Learning with Blockchain-based Incentive","title-short":"DeepChain","author":[{"family":"Weng","given":"Jiasi"},{"family":"Weng","given":"Jian"},{"family":"Zhang","given":"Jilian"},{"family":"Li","given":"Ming"},{"family":"Zhang","given":"Yue"},{"family":"Luo","given":"Weiqi"}],"issued":{"date-parts":[["2019"]]},"citation-key":"wengDeepChainAuditablePrivacyPreserving2019"}}],"schema":"https://github.com/citation-style-language/schema/raw/master/csl-citation.json"} </w:instrText>
      </w:r>
      <w:r w:rsidRPr="00C70430">
        <w:rPr>
          <w:sz w:val="20"/>
          <w:szCs w:val="20"/>
        </w:rPr>
        <w:fldChar w:fldCharType="separate"/>
      </w:r>
      <w:r>
        <w:rPr>
          <w:sz w:val="20"/>
          <w:szCs w:val="20"/>
        </w:rPr>
        <w:t>Weng et al. (2019)</w:t>
      </w:r>
      <w:r w:rsidRPr="00C70430">
        <w:rPr>
          <w:sz w:val="20"/>
          <w:szCs w:val="20"/>
        </w:rPr>
        <w:fldChar w:fldCharType="end"/>
      </w:r>
      <w:r w:rsidRPr="00C70430">
        <w:rPr>
          <w:sz w:val="20"/>
          <w:szCs w:val="20"/>
        </w:rPr>
        <w:t xml:space="preserve"> introduced token incentives in federated learning to provide participants with a fair guarantee to prevent participants from misleading training, inference attacks, and other improper behaviors</w:t>
      </w:r>
      <w:r>
        <w:rPr>
          <w:sz w:val="20"/>
          <w:szCs w:val="20"/>
        </w:rPr>
        <w:t>.</w:t>
      </w:r>
      <w:r w:rsidRPr="00C70430">
        <w:rPr>
          <w:sz w:val="20"/>
          <w:szCs w:val="20"/>
        </w:rPr>
        <w:t xml:space="preserve"> </w:t>
      </w:r>
      <w:r>
        <w:rPr>
          <w:sz w:val="20"/>
          <w:szCs w:val="20"/>
        </w:rPr>
        <w:t>Experiments with simulations indicate that token incentives are more likely to induce participants to comply with rules and behave appropriately.</w:t>
      </w:r>
      <w:r w:rsidRPr="00C70430">
        <w:rPr>
          <w:sz w:val="20"/>
          <w:szCs w:val="20"/>
        </w:rPr>
        <w:t xml:space="preserve"> </w:t>
      </w:r>
      <w:r w:rsidRPr="00C70430">
        <w:rPr>
          <w:sz w:val="20"/>
          <w:szCs w:val="20"/>
        </w:rPr>
        <w:fldChar w:fldCharType="begin"/>
      </w:r>
      <w:r>
        <w:rPr>
          <w:sz w:val="20"/>
          <w:szCs w:val="20"/>
        </w:rPr>
        <w:instrText xml:space="preserve"> ADDIN ZOTERO_ITEM CSL_CITATION {"citationID":"vi7IroMx","properties":{"formattedCitation":"(Dang et al., 2022)","plainCitation":"(Dang et al., 2022)","dontUpdate":true,"noteIndex":0},"citationItems":[{"id":1110,"uris":["http://zotero.org/users/8646247/items/DA36YJD8"],"itemData":{"id":1110,"type":"article-journal","container-title":"International Journal of Intelligent Systems","DOI":"10.1002/int.22670","ISSN":"0884-8173, 1098-111X","issue":"2","journalAbbreviation":"Int J of Intelligent Sys","language":"en","page":"1299-1321","source":"DOI.org (Crossref)","title":"Dynamic incentive mechanism design for regulation</w:instrText>
      </w:r>
      <w:r>
        <w:rPr>
          <w:rFonts w:hint="eastAsia"/>
          <w:sz w:val="20"/>
          <w:szCs w:val="20"/>
        </w:rPr>
        <w:instrText>‐</w:instrText>
      </w:r>
      <w:r>
        <w:rPr>
          <w:sz w:val="20"/>
          <w:szCs w:val="20"/>
        </w:rPr>
        <w:instrText xml:space="preserve">aware systems","volume":"37","author":[{"family":"Dang","given":"Sixuan"},{"family":"Cao","given":"Sheng"},{"family":"Li","given":"Jingwei"},{"family":"Zhang","given":"Xiaosong"}],"issued":{"date-parts":[["2022",2]]},"citation-key":"dangDynamicIncentiveMechanism2022"}}],"schema":"https://github.com/citation-style-language/schema/raw/master/csl-citation.json"} </w:instrText>
      </w:r>
      <w:r w:rsidRPr="00C70430">
        <w:rPr>
          <w:sz w:val="20"/>
          <w:szCs w:val="20"/>
        </w:rPr>
        <w:fldChar w:fldCharType="separate"/>
      </w:r>
      <w:r>
        <w:rPr>
          <w:sz w:val="20"/>
          <w:szCs w:val="20"/>
        </w:rPr>
        <w:t>Dang et al. (2022)</w:t>
      </w:r>
      <w:r w:rsidRPr="00C70430">
        <w:rPr>
          <w:sz w:val="20"/>
          <w:szCs w:val="20"/>
        </w:rPr>
        <w:fldChar w:fldCharType="end"/>
      </w:r>
      <w:r w:rsidRPr="00C70430">
        <w:rPr>
          <w:sz w:val="20"/>
          <w:szCs w:val="20"/>
        </w:rPr>
        <w:t xml:space="preserve"> developed a dynamic incentive mechanism for supervising employees in the service industry</w:t>
      </w:r>
      <w:r>
        <w:rPr>
          <w:sz w:val="20"/>
          <w:szCs w:val="20"/>
        </w:rPr>
        <w:t>.</w:t>
      </w:r>
      <w:r w:rsidRPr="00C70430">
        <w:rPr>
          <w:sz w:val="20"/>
          <w:szCs w:val="20"/>
        </w:rPr>
        <w:t xml:space="preserve"> </w:t>
      </w:r>
      <w:r>
        <w:rPr>
          <w:sz w:val="20"/>
          <w:szCs w:val="20"/>
        </w:rPr>
        <w:t>T</w:t>
      </w:r>
      <w:r w:rsidRPr="00C70430">
        <w:rPr>
          <w:sz w:val="20"/>
          <w:szCs w:val="20"/>
        </w:rPr>
        <w:t>he usage of tokens</w:t>
      </w:r>
      <w:r>
        <w:rPr>
          <w:sz w:val="20"/>
          <w:szCs w:val="20"/>
        </w:rPr>
        <w:t xml:space="preserve"> and smart contracts</w:t>
      </w:r>
      <w:r w:rsidRPr="00C70430">
        <w:rPr>
          <w:sz w:val="20"/>
          <w:szCs w:val="20"/>
        </w:rPr>
        <w:t xml:space="preserve"> overcomes the </w:t>
      </w:r>
      <w:r>
        <w:rPr>
          <w:sz w:val="20"/>
          <w:szCs w:val="20"/>
        </w:rPr>
        <w:t>fairness</w:t>
      </w:r>
      <w:r w:rsidRPr="00C70430">
        <w:rPr>
          <w:sz w:val="20"/>
          <w:szCs w:val="20"/>
        </w:rPr>
        <w:t xml:space="preserve"> problem regarding whether to reward or punish</w:t>
      </w:r>
      <w:r>
        <w:rPr>
          <w:sz w:val="20"/>
          <w:szCs w:val="20"/>
        </w:rPr>
        <w:t xml:space="preserve"> employees.</w:t>
      </w:r>
      <w:r w:rsidRPr="00C70430">
        <w:rPr>
          <w:sz w:val="20"/>
          <w:szCs w:val="20"/>
        </w:rPr>
        <w:t xml:space="preserve"> </w:t>
      </w:r>
      <w:r>
        <w:rPr>
          <w:sz w:val="20"/>
          <w:szCs w:val="20"/>
        </w:rPr>
        <w:t>The experimental results indicate</w:t>
      </w:r>
      <w:r w:rsidRPr="00C70430">
        <w:rPr>
          <w:sz w:val="20"/>
          <w:szCs w:val="20"/>
        </w:rPr>
        <w:t xml:space="preserve"> that this mechanism can help </w:t>
      </w:r>
      <w:r>
        <w:rPr>
          <w:sz w:val="20"/>
          <w:szCs w:val="20"/>
        </w:rPr>
        <w:t>employees</w:t>
      </w:r>
      <w:r w:rsidRPr="00C70430">
        <w:rPr>
          <w:sz w:val="20"/>
          <w:szCs w:val="20"/>
        </w:rPr>
        <w:t xml:space="preserve"> better moderate their behavior when </w:t>
      </w:r>
      <w:r>
        <w:rPr>
          <w:sz w:val="20"/>
          <w:szCs w:val="20"/>
        </w:rPr>
        <w:t>interacting</w:t>
      </w:r>
      <w:r w:rsidRPr="00C70430">
        <w:rPr>
          <w:sz w:val="20"/>
          <w:szCs w:val="20"/>
        </w:rPr>
        <w:t xml:space="preserve"> with clients.</w:t>
      </w:r>
    </w:p>
    <w:p w14:paraId="090ACBB4" w14:textId="77777777" w:rsidR="004452A0" w:rsidRPr="00CC78E6" w:rsidRDefault="004452A0" w:rsidP="004452A0">
      <w:pPr>
        <w:adjustRightInd w:val="0"/>
        <w:snapToGrid w:val="0"/>
        <w:spacing w:after="0" w:line="240" w:lineRule="auto"/>
        <w:jc w:val="both"/>
        <w:rPr>
          <w:sz w:val="20"/>
          <w:szCs w:val="20"/>
        </w:rPr>
      </w:pPr>
    </w:p>
    <w:p w14:paraId="7E355FB9" w14:textId="77777777" w:rsidR="004452A0" w:rsidRDefault="004452A0" w:rsidP="004452A0">
      <w:pPr>
        <w:adjustRightInd w:val="0"/>
        <w:snapToGrid w:val="0"/>
        <w:spacing w:after="0" w:line="240" w:lineRule="auto"/>
        <w:jc w:val="both"/>
        <w:rPr>
          <w:sz w:val="20"/>
          <w:szCs w:val="20"/>
        </w:rPr>
      </w:pPr>
      <w:r w:rsidRPr="00C70430">
        <w:rPr>
          <w:sz w:val="20"/>
          <w:szCs w:val="20"/>
        </w:rPr>
        <w:t xml:space="preserve">(3) Blockchain-based token incentives are used </w:t>
      </w:r>
      <w:r>
        <w:rPr>
          <w:sz w:val="20"/>
          <w:szCs w:val="20"/>
        </w:rPr>
        <w:t>address</w:t>
      </w:r>
      <w:r w:rsidRPr="00C70430">
        <w:rPr>
          <w:sz w:val="20"/>
          <w:szCs w:val="20"/>
        </w:rPr>
        <w:t xml:space="preserve"> data security</w:t>
      </w:r>
      <w:r>
        <w:rPr>
          <w:sz w:val="20"/>
          <w:szCs w:val="20"/>
        </w:rPr>
        <w:t xml:space="preserve"> concerns</w:t>
      </w:r>
      <w:r w:rsidRPr="00C70430">
        <w:rPr>
          <w:sz w:val="20"/>
          <w:szCs w:val="20"/>
        </w:rPr>
        <w:t xml:space="preserve">. In the medical field, for example, electronic medical records </w:t>
      </w:r>
      <w:r>
        <w:rPr>
          <w:sz w:val="20"/>
          <w:szCs w:val="20"/>
        </w:rPr>
        <w:t>can</w:t>
      </w:r>
      <w:r w:rsidRPr="00C70430">
        <w:rPr>
          <w:sz w:val="20"/>
          <w:szCs w:val="20"/>
        </w:rPr>
        <w:t xml:space="preserve"> be stored </w:t>
      </w:r>
      <w:r>
        <w:rPr>
          <w:sz w:val="20"/>
          <w:szCs w:val="20"/>
        </w:rPr>
        <w:t>on</w:t>
      </w:r>
      <w:r w:rsidRPr="00C70430">
        <w:rPr>
          <w:sz w:val="20"/>
          <w:szCs w:val="20"/>
        </w:rPr>
        <w:t xml:space="preserve"> blockchain to ensure data security</w:t>
      </w:r>
      <w:r>
        <w:rPr>
          <w:sz w:val="20"/>
          <w:szCs w:val="20"/>
        </w:rPr>
        <w:t>.</w:t>
      </w:r>
      <w:r w:rsidRPr="00C70430">
        <w:rPr>
          <w:sz w:val="20"/>
          <w:szCs w:val="20"/>
        </w:rPr>
        <w:t xml:space="preserve"> </w:t>
      </w:r>
      <w:r>
        <w:rPr>
          <w:sz w:val="20"/>
          <w:szCs w:val="20"/>
        </w:rPr>
        <w:t>On the assumption of ensuring the authenticity and privacy of experimental data and medical records, the use of a blockchain-based token reward mechanism can improve people's enthusiasm for participating in clinical trials</w:t>
      </w:r>
      <w:r w:rsidRPr="00C70430">
        <w:rPr>
          <w:sz w:val="20"/>
          <w:szCs w:val="20"/>
        </w:rPr>
        <w:t xml:space="preserve"> </w:t>
      </w:r>
      <w:r w:rsidRPr="00C70430">
        <w:rPr>
          <w:sz w:val="20"/>
          <w:szCs w:val="20"/>
        </w:rPr>
        <w:fldChar w:fldCharType="begin"/>
      </w:r>
      <w:r>
        <w:rPr>
          <w:sz w:val="20"/>
          <w:szCs w:val="20"/>
        </w:rPr>
        <w:instrText xml:space="preserve"> ADDIN ZOTERO_ITEM CSL_CITATION {"citationID":"qXgPZaH7","properties":{"formattedCitation":"(Jung et al., 2021)","plainCitation":"(Jung et al., 2021)","noteIndex":0},"citationItems":[{"id":1103,"uris":["http://zotero.org/users/8646247/items/YSQD8LLR"],"itemData":{"id":1103,"type":"article-journal","abstract":"Background\n              Despite the fact that the adoption rate of electronic health records has increased dramatically among high-income nations, it is still difficult to properly disseminate personal health records. Token economy, through blockchain smart contracts, can better distribute personal health records by providing incentives to patients. However, there have been very few studies regarding the particular factors that should be considered when designing incentive mechanisms in blockchain.\n            \n            \n              Objective\n              The aim of this paper is to provide 2 new mathematical models of token economy in real-world scenarios on health care blockchain platforms.\n            \n            \n              Methods\n              First, roles were set for the health care blockchain platform and its token flow. Second, 2 scenarios were introduced: collecting life-log data for an incentive program at a life insurance company to motivate customers to exercise more and recruiting participants for clinical trials of anticancer drugs. In our 2 scenarios, we assumed that there were 3 stakeholders: participants, data recipients (companies), and data providers (health care organizations). We also assumed that the incentives are initially paid out to participants by data recipients, who are focused on minimizing economic and time costs by adapting mechanism design. This concept can be seen as a part of game theory, since the willingness-to-pay of data recipients is important in maintaining the blockchain token economy. In both scenarios, the recruiting company can change the expected recruitment time and number of participants. Suppose a company considers the recruitment time to be more important than the number of participants and rewards. In that case, the company can increase the time weight and adjust cost. When the reward parameter is fixed, the corresponding expected recruitment time can be obtained. Among the reward and time pairs, the pair that minimizes the company’s cost was chosen. Finally, the optimized results were compared with the simulations and analyzed accordingly.\n            \n            \n              Results\n              To minimize the company</w:instrText>
      </w:r>
      <w:r>
        <w:rPr>
          <w:rFonts w:hint="eastAsia"/>
          <w:sz w:val="20"/>
          <w:szCs w:val="20"/>
        </w:rPr>
        <w:instrText>’</w:instrText>
      </w:r>
      <w:r>
        <w:rPr>
          <w:sz w:val="20"/>
          <w:szCs w:val="20"/>
        </w:rPr>
        <w:instrText xml:space="preserve">s costs, reward–time pairs were first collected. It was observed that the expected recruitment time decreased as rewards grew, while the rewards decreased as time cost grew. Therefore, the cost was represented by a convex curve, which made it possible to obtain a minimum—an optimal point—for both scenarios. Through sensitivity analysis, we observed that, as the time weight increased, the optimized reward increased, while the optimized time decreased. Moreover, as the number of participants increased, the optimization reward and time also increased.\n            \n            \n              Conclusions\n              In this study, we were able to model the incentive mechanism of blockchain based on a mechanism design that recruits participants through a health care blockchain platform. This study presents a basic approach to incentive modeling in personal health records, demonstrating how health care organizations and funding companies can motivate one another to join the platform.","container-title":"Journal of Medical Internet Research","DOI":"10.2196/26802","ISSN":"1438-8871","issue":"9","journalAbbreviation":"J Med Internet Res","language":"en","page":"e26802","source":"DOI.org (Crossref)","title":"Mechanism Design of Health Care Blockchain System Token Economy: Development Study Based on Simulated Real-World Scenarios","title-short":"Mechanism Design of Health Care Blockchain System Token Economy","volume":"23","author":[{"family":"Jung","given":"Se Young"},{"family":"Kim","given":"Taehyun"},{"family":"Hwang","given":"Hyung Ju"},{"family":"Hong","given":"Kyungpyo"}],"issued":{"date-parts":[["2021",9,13]]},"citation-key":"jungMechanismDesignHealth2021"}}],"schema":"https://github.com/citation-style-language/schema/raw/master/csl-citation.json"} </w:instrText>
      </w:r>
      <w:r w:rsidRPr="00C70430">
        <w:rPr>
          <w:sz w:val="20"/>
          <w:szCs w:val="20"/>
        </w:rPr>
        <w:fldChar w:fldCharType="separate"/>
      </w:r>
      <w:r>
        <w:rPr>
          <w:sz w:val="20"/>
          <w:szCs w:val="20"/>
        </w:rPr>
        <w:t>(Jung et al., 2021)</w:t>
      </w:r>
      <w:r w:rsidRPr="00C70430">
        <w:rPr>
          <w:sz w:val="20"/>
          <w:szCs w:val="20"/>
        </w:rPr>
        <w:fldChar w:fldCharType="end"/>
      </w:r>
      <w:r w:rsidRPr="00C70430">
        <w:rPr>
          <w:sz w:val="20"/>
          <w:szCs w:val="20"/>
        </w:rPr>
        <w:t>.</w:t>
      </w:r>
    </w:p>
    <w:p w14:paraId="60A64A45" w14:textId="77777777" w:rsidR="004452A0" w:rsidRPr="00C70430" w:rsidRDefault="004452A0" w:rsidP="004452A0">
      <w:pPr>
        <w:adjustRightInd w:val="0"/>
        <w:snapToGrid w:val="0"/>
        <w:spacing w:after="0" w:line="240" w:lineRule="auto"/>
        <w:jc w:val="both"/>
        <w:rPr>
          <w:sz w:val="20"/>
          <w:szCs w:val="20"/>
        </w:rPr>
      </w:pPr>
    </w:p>
    <w:p w14:paraId="667C21E4" w14:textId="77777777" w:rsidR="004452A0" w:rsidRPr="000E14FC" w:rsidRDefault="004452A0" w:rsidP="004452A0">
      <w:pPr>
        <w:adjustRightInd w:val="0"/>
        <w:snapToGrid w:val="0"/>
        <w:spacing w:after="0" w:line="240" w:lineRule="auto"/>
        <w:jc w:val="center"/>
        <w:rPr>
          <w:sz w:val="20"/>
          <w:szCs w:val="20"/>
        </w:rPr>
      </w:pPr>
      <w:r w:rsidRPr="000E14FC">
        <w:rPr>
          <w:sz w:val="20"/>
          <w:szCs w:val="20"/>
        </w:rPr>
        <w:t>Table 1</w:t>
      </w:r>
      <w:r>
        <w:rPr>
          <w:sz w:val="20"/>
          <w:szCs w:val="20"/>
        </w:rPr>
        <w:t>:</w:t>
      </w:r>
      <w:r w:rsidRPr="000E14FC">
        <w:rPr>
          <w:sz w:val="20"/>
          <w:szCs w:val="20"/>
        </w:rPr>
        <w:t xml:space="preserve"> </w:t>
      </w:r>
      <w:r w:rsidRPr="000E14FC">
        <w:rPr>
          <w:rFonts w:hint="eastAsia"/>
          <w:sz w:val="20"/>
          <w:szCs w:val="20"/>
        </w:rPr>
        <w:t>A</w:t>
      </w:r>
      <w:r w:rsidRPr="000E14FC">
        <w:rPr>
          <w:sz w:val="20"/>
          <w:szCs w:val="20"/>
        </w:rPr>
        <w:t>pplication value of Blockchain-based Token Incentives</w:t>
      </w:r>
    </w:p>
    <w:tbl>
      <w:tblPr>
        <w:tblW w:w="10367" w:type="dxa"/>
        <w:jc w:val="center"/>
        <w:tblLook w:val="04A0" w:firstRow="1" w:lastRow="0" w:firstColumn="1" w:lastColumn="0" w:noHBand="0" w:noVBand="1"/>
      </w:tblPr>
      <w:tblGrid>
        <w:gridCol w:w="2268"/>
        <w:gridCol w:w="4424"/>
        <w:gridCol w:w="3675"/>
      </w:tblGrid>
      <w:tr w:rsidR="004452A0" w14:paraId="75E357E6" w14:textId="77777777" w:rsidTr="00F14C04">
        <w:trPr>
          <w:trHeight w:val="470"/>
          <w:jc w:val="center"/>
        </w:trPr>
        <w:tc>
          <w:tcPr>
            <w:tcW w:w="2268" w:type="dxa"/>
            <w:tcBorders>
              <w:top w:val="single" w:sz="12" w:space="0" w:color="auto"/>
              <w:bottom w:val="single" w:sz="8" w:space="0" w:color="000000"/>
            </w:tcBorders>
            <w:shd w:val="clear" w:color="auto" w:fill="auto"/>
            <w:vAlign w:val="center"/>
          </w:tcPr>
          <w:p w14:paraId="432D0617" w14:textId="77777777" w:rsidR="004452A0" w:rsidRDefault="004452A0" w:rsidP="00F14C04">
            <w:pPr>
              <w:adjustRightInd w:val="0"/>
              <w:snapToGrid w:val="0"/>
              <w:spacing w:after="0" w:line="240" w:lineRule="auto"/>
              <w:jc w:val="center"/>
              <w:rPr>
                <w:sz w:val="20"/>
                <w:szCs w:val="20"/>
              </w:rPr>
            </w:pPr>
            <w:bookmarkStart w:id="21" w:name="OLE_LINK585"/>
            <w:r>
              <w:rPr>
                <w:rFonts w:hint="eastAsia"/>
                <w:sz w:val="20"/>
                <w:szCs w:val="20"/>
              </w:rPr>
              <w:t>A</w:t>
            </w:r>
            <w:r>
              <w:rPr>
                <w:sz w:val="20"/>
                <w:szCs w:val="20"/>
              </w:rPr>
              <w:t>pplication value of Blockchain-based Token Incentives</w:t>
            </w:r>
            <w:bookmarkEnd w:id="21"/>
          </w:p>
        </w:tc>
        <w:tc>
          <w:tcPr>
            <w:tcW w:w="4424" w:type="dxa"/>
            <w:tcBorders>
              <w:top w:val="single" w:sz="12" w:space="0" w:color="auto"/>
              <w:bottom w:val="single" w:sz="8" w:space="0" w:color="000000"/>
            </w:tcBorders>
            <w:shd w:val="clear" w:color="auto" w:fill="auto"/>
            <w:vAlign w:val="center"/>
          </w:tcPr>
          <w:p w14:paraId="314F672A" w14:textId="77777777" w:rsidR="004452A0" w:rsidRDefault="004452A0" w:rsidP="00F14C04">
            <w:pPr>
              <w:adjustRightInd w:val="0"/>
              <w:snapToGrid w:val="0"/>
              <w:spacing w:after="0" w:line="240" w:lineRule="auto"/>
              <w:jc w:val="center"/>
              <w:rPr>
                <w:sz w:val="20"/>
                <w:szCs w:val="20"/>
              </w:rPr>
            </w:pPr>
            <w:bookmarkStart w:id="22" w:name="OLE_LINK584"/>
            <w:r>
              <w:rPr>
                <w:sz w:val="20"/>
                <w:szCs w:val="20"/>
              </w:rPr>
              <w:t>Literatures</w:t>
            </w:r>
            <w:bookmarkEnd w:id="22"/>
          </w:p>
        </w:tc>
        <w:tc>
          <w:tcPr>
            <w:tcW w:w="3675" w:type="dxa"/>
            <w:tcBorders>
              <w:top w:val="single" w:sz="12" w:space="0" w:color="auto"/>
              <w:bottom w:val="single" w:sz="8" w:space="0" w:color="000000"/>
            </w:tcBorders>
            <w:shd w:val="clear" w:color="auto" w:fill="auto"/>
            <w:vAlign w:val="center"/>
          </w:tcPr>
          <w:p w14:paraId="4E3582AF" w14:textId="77777777" w:rsidR="004452A0" w:rsidRDefault="004452A0" w:rsidP="00F14C04">
            <w:pPr>
              <w:adjustRightInd w:val="0"/>
              <w:snapToGrid w:val="0"/>
              <w:spacing w:after="0" w:line="240" w:lineRule="auto"/>
              <w:jc w:val="center"/>
              <w:rPr>
                <w:sz w:val="20"/>
                <w:szCs w:val="20"/>
              </w:rPr>
            </w:pPr>
            <w:r>
              <w:rPr>
                <w:rFonts w:hint="eastAsia"/>
                <w:sz w:val="20"/>
                <w:szCs w:val="20"/>
              </w:rPr>
              <w:t>A</w:t>
            </w:r>
            <w:r>
              <w:rPr>
                <w:sz w:val="20"/>
                <w:szCs w:val="20"/>
              </w:rPr>
              <w:t xml:space="preserve">pplication </w:t>
            </w:r>
            <w:bookmarkStart w:id="23" w:name="OLE_LINK615"/>
            <w:r w:rsidRPr="00D04112">
              <w:rPr>
                <w:sz w:val="20"/>
                <w:szCs w:val="20"/>
              </w:rPr>
              <w:t>Scenarios</w:t>
            </w:r>
            <w:bookmarkEnd w:id="23"/>
          </w:p>
        </w:tc>
      </w:tr>
      <w:tr w:rsidR="004452A0" w14:paraId="21CEC3AE" w14:textId="77777777" w:rsidTr="00F14C04">
        <w:trPr>
          <w:trHeight w:val="470"/>
          <w:jc w:val="center"/>
        </w:trPr>
        <w:tc>
          <w:tcPr>
            <w:tcW w:w="2268" w:type="dxa"/>
            <w:vMerge w:val="restart"/>
            <w:tcBorders>
              <w:top w:val="single" w:sz="8" w:space="0" w:color="000000"/>
            </w:tcBorders>
            <w:shd w:val="clear" w:color="auto" w:fill="auto"/>
            <w:vAlign w:val="center"/>
          </w:tcPr>
          <w:p w14:paraId="2DB01B13" w14:textId="77777777" w:rsidR="004452A0" w:rsidRDefault="004452A0" w:rsidP="00F14C04">
            <w:pPr>
              <w:adjustRightInd w:val="0"/>
              <w:snapToGrid w:val="0"/>
              <w:spacing w:after="0" w:line="240" w:lineRule="auto"/>
              <w:jc w:val="center"/>
              <w:rPr>
                <w:sz w:val="20"/>
                <w:szCs w:val="20"/>
              </w:rPr>
            </w:pPr>
            <w:r>
              <w:rPr>
                <w:rFonts w:hint="eastAsia"/>
                <w:sz w:val="20"/>
                <w:szCs w:val="20"/>
              </w:rPr>
              <w:t>D</w:t>
            </w:r>
            <w:r>
              <w:rPr>
                <w:sz w:val="20"/>
                <w:szCs w:val="20"/>
              </w:rPr>
              <w:t>ecentralized trading</w:t>
            </w:r>
          </w:p>
        </w:tc>
        <w:bookmarkStart w:id="24" w:name="OLE_LINK11"/>
        <w:tc>
          <w:tcPr>
            <w:tcW w:w="4424" w:type="dxa"/>
            <w:tcBorders>
              <w:top w:val="single" w:sz="8" w:space="0" w:color="000000"/>
              <w:bottom w:val="single" w:sz="8" w:space="0" w:color="auto"/>
            </w:tcBorders>
            <w:shd w:val="clear" w:color="auto" w:fill="auto"/>
            <w:vAlign w:val="center"/>
          </w:tcPr>
          <w:p w14:paraId="580B7FF1" w14:textId="77777777" w:rsidR="004452A0" w:rsidRDefault="004452A0" w:rsidP="00F14C04">
            <w:pPr>
              <w:adjustRightInd w:val="0"/>
              <w:snapToGrid w:val="0"/>
              <w:spacing w:after="0" w:line="240" w:lineRule="auto"/>
              <w:jc w:val="center"/>
              <w:rPr>
                <w:sz w:val="20"/>
                <w:szCs w:val="20"/>
              </w:rPr>
            </w:pPr>
            <w:r>
              <w:rPr>
                <w:sz w:val="20"/>
                <w:szCs w:val="20"/>
              </w:rPr>
              <w:fldChar w:fldCharType="begin"/>
            </w:r>
            <w:r>
              <w:rPr>
                <w:sz w:val="20"/>
                <w:szCs w:val="20"/>
              </w:rPr>
              <w:instrText xml:space="preserve"> ADDIN ZOTERO_ITEM CSL_CITATION {"citationID":"hBriIkpV","properties":{"formattedCitation":"(ImaniMehr &amp; DehghanTakhtFooladi, 2019)","plainCitation":"(ImaniMehr &amp; DehghanTakhtFooladi, 2019)","dontUpdate":true,"noteIndex":0},"citationItems":[{"id":1106,"uris":["http://zotero.org/users/8646247/items/ABNDHWNR"],"itemData":{"id":1106,"type":"article-journal","container-title":"The Journal of Supercomputing","DOI":"10.1007/s11227-019-02863-0","ISSN":"0920-8542, 1573-0484","issue":"10","journalAbbreviation":"J Supercomput","language":"en","page":"6612-6631","source":"DOI.org (Crossref)","title":"Token-based incentive mechanism for peer-to-peer video streaming networks","volume":"75","author":[{"family":"ImaniMehr","given":"Zahra"},{"family":"DehghanTakhtFooladi","given":"Mehdi"}],"issued":{"date-parts":[["2019",10]]},"citation-key":"imanimehrTokenbasedIncentiveMechanism2019"}}],"schema":"https://github.com/citation-style-language/schema/raw/master/csl-citation.json"} </w:instrText>
            </w:r>
            <w:r>
              <w:rPr>
                <w:sz w:val="20"/>
                <w:szCs w:val="20"/>
              </w:rPr>
              <w:fldChar w:fldCharType="separate"/>
            </w:r>
            <w:r>
              <w:rPr>
                <w:sz w:val="20"/>
                <w:szCs w:val="20"/>
              </w:rPr>
              <w:t>ImaniMehr &amp; DehghanTakhtFooladi, 2019</w:t>
            </w:r>
            <w:r>
              <w:rPr>
                <w:sz w:val="20"/>
                <w:szCs w:val="20"/>
              </w:rPr>
              <w:fldChar w:fldCharType="end"/>
            </w:r>
            <w:bookmarkEnd w:id="24"/>
          </w:p>
        </w:tc>
        <w:tc>
          <w:tcPr>
            <w:tcW w:w="3675" w:type="dxa"/>
            <w:tcBorders>
              <w:top w:val="single" w:sz="8" w:space="0" w:color="000000"/>
              <w:bottom w:val="single" w:sz="8" w:space="0" w:color="auto"/>
            </w:tcBorders>
            <w:shd w:val="clear" w:color="auto" w:fill="auto"/>
            <w:vAlign w:val="center"/>
          </w:tcPr>
          <w:p w14:paraId="4C382ACC" w14:textId="77777777" w:rsidR="004452A0" w:rsidRDefault="004452A0" w:rsidP="00F14C04">
            <w:pPr>
              <w:adjustRightInd w:val="0"/>
              <w:snapToGrid w:val="0"/>
              <w:spacing w:after="0" w:line="240" w:lineRule="auto"/>
              <w:jc w:val="center"/>
              <w:rPr>
                <w:sz w:val="20"/>
                <w:szCs w:val="20"/>
              </w:rPr>
            </w:pPr>
            <w:r>
              <w:rPr>
                <w:sz w:val="20"/>
                <w:szCs w:val="20"/>
              </w:rPr>
              <w:t>Peer‑to‑peer video streaming networks</w:t>
            </w:r>
          </w:p>
        </w:tc>
      </w:tr>
      <w:tr w:rsidR="004452A0" w14:paraId="64211017" w14:textId="77777777" w:rsidTr="00F14C04">
        <w:trPr>
          <w:trHeight w:val="487"/>
          <w:jc w:val="center"/>
        </w:trPr>
        <w:tc>
          <w:tcPr>
            <w:tcW w:w="2268" w:type="dxa"/>
            <w:vMerge/>
            <w:tcBorders>
              <w:bottom w:val="single" w:sz="8" w:space="0" w:color="auto"/>
            </w:tcBorders>
            <w:shd w:val="clear" w:color="auto" w:fill="auto"/>
            <w:vAlign w:val="center"/>
          </w:tcPr>
          <w:p w14:paraId="1435AF73" w14:textId="77777777" w:rsidR="004452A0" w:rsidRDefault="004452A0" w:rsidP="00F14C04">
            <w:pPr>
              <w:adjustRightInd w:val="0"/>
              <w:snapToGrid w:val="0"/>
              <w:spacing w:after="0" w:line="240" w:lineRule="auto"/>
              <w:jc w:val="center"/>
              <w:rPr>
                <w:sz w:val="20"/>
                <w:szCs w:val="20"/>
              </w:rPr>
            </w:pPr>
            <w:bookmarkStart w:id="25" w:name="_Hlk113349498"/>
          </w:p>
        </w:tc>
        <w:tc>
          <w:tcPr>
            <w:tcW w:w="4424" w:type="dxa"/>
            <w:tcBorders>
              <w:top w:val="single" w:sz="8" w:space="0" w:color="auto"/>
              <w:bottom w:val="single" w:sz="8" w:space="0" w:color="auto"/>
            </w:tcBorders>
            <w:shd w:val="clear" w:color="auto" w:fill="auto"/>
            <w:vAlign w:val="center"/>
          </w:tcPr>
          <w:p w14:paraId="6A987BF5" w14:textId="77777777" w:rsidR="004452A0" w:rsidRPr="007F6597" w:rsidRDefault="004452A0" w:rsidP="00F14C04">
            <w:pPr>
              <w:adjustRightInd w:val="0"/>
              <w:snapToGrid w:val="0"/>
              <w:spacing w:after="0" w:line="240" w:lineRule="auto"/>
              <w:jc w:val="center"/>
              <w:rPr>
                <w:sz w:val="20"/>
                <w:szCs w:val="20"/>
              </w:rPr>
            </w:pPr>
            <w:r w:rsidRPr="007F6597">
              <w:rPr>
                <w:sz w:val="20"/>
                <w:szCs w:val="20"/>
              </w:rPr>
              <w:fldChar w:fldCharType="begin"/>
            </w:r>
            <w:r w:rsidRPr="007F6597">
              <w:rPr>
                <w:sz w:val="20"/>
                <w:szCs w:val="20"/>
              </w:rPr>
              <w:instrText xml:space="preserve"> ADDIN ZOTERO_ITEM CSL_CITATION {"citationID":"92ec1n6M","properties":{"formattedCitation":"\\uldash{(Wang et al., 2019)}","plainCitation":"(Wang et al., 2019)","dontUpdate":true,"noteIndex":0},"citationItems":[{"id":2398,"uris":["http://zotero.org/users/8646247/items/KRMXQMA5"],"itemData":{"id":2398,"type":"article-journal","container-title":"Applied Energy","DOI":"10.1016/j.apenergy.2019.113471","ISSN":"03062619","journalAbbreviation":"Applied Energy","language":"en","page":"113471","source":"DOI.org (Crossref)","title":"Incentivizing distributed energy resource aggregation in energy and capacity markets: An energy sharing scheme and mechanism design","title-short":"Incentivizing distributed energy resource aggregation in energy and capacity markets","volume":"252","author":[{"family":"Wang","given":"Jianxiao"},{"family":"Zhong","given":"Haiwang"},{"family":"Wu","given":"Chenye"},{"family":"Du","given":"Ershun"},{"family":"Xia","given":"Qing"},{"family":"Kang","given":"Chongqing"}],"issued":{"date-parts":[["2019",10]]},"citation-key":"wangIncentivizingDistributedEnergy2019"}}],"schema":"https://github.com/citation-style-language/schema/raw/master/csl-citation.json"} </w:instrText>
            </w:r>
            <w:r w:rsidRPr="007F6597">
              <w:rPr>
                <w:sz w:val="20"/>
                <w:szCs w:val="20"/>
              </w:rPr>
              <w:fldChar w:fldCharType="separate"/>
            </w:r>
            <w:r w:rsidRPr="00E04F6F">
              <w:rPr>
                <w:sz w:val="20"/>
              </w:rPr>
              <w:t>Wang et al., 2019</w:t>
            </w:r>
            <w:r w:rsidRPr="007F6597">
              <w:rPr>
                <w:sz w:val="20"/>
                <w:szCs w:val="20"/>
              </w:rPr>
              <w:fldChar w:fldCharType="end"/>
            </w:r>
          </w:p>
        </w:tc>
        <w:tc>
          <w:tcPr>
            <w:tcW w:w="3675" w:type="dxa"/>
            <w:tcBorders>
              <w:top w:val="single" w:sz="8" w:space="0" w:color="auto"/>
              <w:bottom w:val="single" w:sz="8" w:space="0" w:color="auto"/>
            </w:tcBorders>
            <w:shd w:val="clear" w:color="auto" w:fill="auto"/>
            <w:vAlign w:val="center"/>
          </w:tcPr>
          <w:p w14:paraId="76D85425" w14:textId="77777777" w:rsidR="004452A0" w:rsidRDefault="004452A0" w:rsidP="00F14C04">
            <w:pPr>
              <w:adjustRightInd w:val="0"/>
              <w:snapToGrid w:val="0"/>
              <w:spacing w:after="0" w:line="240" w:lineRule="auto"/>
              <w:jc w:val="center"/>
              <w:rPr>
                <w:sz w:val="20"/>
                <w:szCs w:val="20"/>
              </w:rPr>
            </w:pPr>
            <w:r>
              <w:rPr>
                <w:rFonts w:hint="eastAsia"/>
                <w:sz w:val="20"/>
                <w:szCs w:val="20"/>
              </w:rPr>
              <w:t>Market</w:t>
            </w:r>
            <w:r>
              <w:rPr>
                <w:sz w:val="20"/>
                <w:szCs w:val="20"/>
              </w:rPr>
              <w:t xml:space="preserve"> of distributed renewable energy</w:t>
            </w:r>
          </w:p>
        </w:tc>
      </w:tr>
      <w:bookmarkEnd w:id="25"/>
      <w:tr w:rsidR="004452A0" w14:paraId="16CED3D3" w14:textId="77777777" w:rsidTr="00F14C04">
        <w:trPr>
          <w:trHeight w:val="487"/>
          <w:jc w:val="center"/>
        </w:trPr>
        <w:tc>
          <w:tcPr>
            <w:tcW w:w="2268" w:type="dxa"/>
            <w:vMerge w:val="restart"/>
            <w:tcBorders>
              <w:top w:val="single" w:sz="8" w:space="0" w:color="auto"/>
            </w:tcBorders>
            <w:shd w:val="clear" w:color="auto" w:fill="auto"/>
            <w:vAlign w:val="center"/>
          </w:tcPr>
          <w:p w14:paraId="63733DE9" w14:textId="77777777" w:rsidR="004452A0" w:rsidRDefault="004452A0" w:rsidP="00F14C04">
            <w:pPr>
              <w:adjustRightInd w:val="0"/>
              <w:snapToGrid w:val="0"/>
              <w:spacing w:after="0" w:line="240" w:lineRule="auto"/>
              <w:jc w:val="center"/>
              <w:rPr>
                <w:sz w:val="20"/>
                <w:szCs w:val="20"/>
              </w:rPr>
            </w:pPr>
            <w:r>
              <w:rPr>
                <w:rFonts w:hint="eastAsia"/>
                <w:sz w:val="20"/>
                <w:szCs w:val="20"/>
              </w:rPr>
              <w:t>A</w:t>
            </w:r>
            <w:r>
              <w:rPr>
                <w:sz w:val="20"/>
                <w:szCs w:val="20"/>
              </w:rPr>
              <w:t>ddressing trust issues</w:t>
            </w:r>
          </w:p>
        </w:tc>
        <w:tc>
          <w:tcPr>
            <w:tcW w:w="4424" w:type="dxa"/>
            <w:tcBorders>
              <w:top w:val="single" w:sz="8" w:space="0" w:color="auto"/>
              <w:bottom w:val="single" w:sz="8" w:space="0" w:color="auto"/>
            </w:tcBorders>
            <w:shd w:val="clear" w:color="auto" w:fill="auto"/>
            <w:vAlign w:val="center"/>
          </w:tcPr>
          <w:p w14:paraId="571B01A3" w14:textId="77777777" w:rsidR="004452A0" w:rsidRDefault="004452A0" w:rsidP="00F14C04">
            <w:pPr>
              <w:adjustRightInd w:val="0"/>
              <w:snapToGrid w:val="0"/>
              <w:spacing w:after="0" w:line="240" w:lineRule="auto"/>
              <w:jc w:val="center"/>
              <w:rPr>
                <w:sz w:val="20"/>
                <w:szCs w:val="20"/>
              </w:rPr>
            </w:pPr>
            <w:r>
              <w:rPr>
                <w:sz w:val="20"/>
                <w:szCs w:val="20"/>
              </w:rPr>
              <w:fldChar w:fldCharType="begin"/>
            </w:r>
            <w:r>
              <w:rPr>
                <w:sz w:val="20"/>
                <w:szCs w:val="20"/>
              </w:rPr>
              <w:instrText xml:space="preserve"> ADDIN ZOTERO_ITEM CSL_CITATION {"citationID":"2elh0EPR","properties":{"formattedCitation":"(Gong &amp; Fan, 2019)","plainCitation":"(Gong &amp; Fan, 2019)","dontUpdate":true,"noteIndex":0},"citationItems":[{"id":1108,"uris":["http://zotero.org/users/8646247/items/9Z2Y8Q8B"],"itemData":{"id":1108,"type":"article-journal","container-title":"Cluster Computing","DOI":"10.1007/s10586-018-2471-x","ISSN":"1386-7857, 1573-7543","issue":"S2","journalAbbreviation":"Cluster Comput","language":"en","page":"5025-5031","source":"DOI.org (Crossref)","title":"Research on the dynamic incentive mechanism of information sharing in social network services based on reputation mechanism","volume":"22","author":[{"family":"Gong","given":"Yanping"},{"family":"Fan","given":"Peng"}],"issued":{"date-parts":[["2019",3]]},"citation-key":"gongResearchDynamicIncentive2019"}}],"schema":"https://github.com/citation-style-language/schema/raw/master/csl-citation.json"} </w:instrText>
            </w:r>
            <w:r>
              <w:rPr>
                <w:sz w:val="20"/>
                <w:szCs w:val="20"/>
              </w:rPr>
              <w:fldChar w:fldCharType="separate"/>
            </w:r>
            <w:r>
              <w:rPr>
                <w:sz w:val="20"/>
                <w:szCs w:val="20"/>
              </w:rPr>
              <w:t>Gong &amp; Fan, 2019</w:t>
            </w:r>
            <w:r>
              <w:rPr>
                <w:sz w:val="20"/>
                <w:szCs w:val="20"/>
              </w:rPr>
              <w:fldChar w:fldCharType="end"/>
            </w:r>
          </w:p>
        </w:tc>
        <w:tc>
          <w:tcPr>
            <w:tcW w:w="3675" w:type="dxa"/>
            <w:tcBorders>
              <w:top w:val="single" w:sz="8" w:space="0" w:color="auto"/>
              <w:bottom w:val="single" w:sz="8" w:space="0" w:color="auto"/>
            </w:tcBorders>
            <w:shd w:val="clear" w:color="auto" w:fill="auto"/>
            <w:vAlign w:val="center"/>
          </w:tcPr>
          <w:p w14:paraId="421ABCEE" w14:textId="77777777" w:rsidR="004452A0" w:rsidRDefault="004452A0" w:rsidP="00F14C04">
            <w:pPr>
              <w:adjustRightInd w:val="0"/>
              <w:snapToGrid w:val="0"/>
              <w:spacing w:after="0" w:line="240" w:lineRule="auto"/>
              <w:jc w:val="center"/>
              <w:rPr>
                <w:sz w:val="20"/>
                <w:szCs w:val="20"/>
              </w:rPr>
            </w:pPr>
            <w:r>
              <w:rPr>
                <w:rFonts w:hint="eastAsia"/>
                <w:sz w:val="20"/>
                <w:szCs w:val="20"/>
              </w:rPr>
              <w:t>M</w:t>
            </w:r>
            <w:r>
              <w:rPr>
                <w:sz w:val="20"/>
                <w:szCs w:val="20"/>
              </w:rPr>
              <w:t>arket information sharing</w:t>
            </w:r>
          </w:p>
        </w:tc>
      </w:tr>
      <w:tr w:rsidR="004452A0" w14:paraId="14A2E2E8" w14:textId="77777777" w:rsidTr="00F14C04">
        <w:trPr>
          <w:trHeight w:val="487"/>
          <w:jc w:val="center"/>
        </w:trPr>
        <w:tc>
          <w:tcPr>
            <w:tcW w:w="2268" w:type="dxa"/>
            <w:vMerge/>
            <w:shd w:val="clear" w:color="auto" w:fill="auto"/>
            <w:vAlign w:val="center"/>
          </w:tcPr>
          <w:p w14:paraId="17A10592" w14:textId="77777777" w:rsidR="004452A0" w:rsidRDefault="004452A0" w:rsidP="00F14C04">
            <w:pPr>
              <w:adjustRightInd w:val="0"/>
              <w:snapToGrid w:val="0"/>
              <w:spacing w:after="0" w:line="240" w:lineRule="auto"/>
              <w:jc w:val="center"/>
              <w:rPr>
                <w:sz w:val="20"/>
                <w:szCs w:val="20"/>
              </w:rPr>
            </w:pPr>
          </w:p>
        </w:tc>
        <w:tc>
          <w:tcPr>
            <w:tcW w:w="4424" w:type="dxa"/>
            <w:tcBorders>
              <w:top w:val="single" w:sz="8" w:space="0" w:color="auto"/>
              <w:bottom w:val="single" w:sz="8" w:space="0" w:color="auto"/>
            </w:tcBorders>
            <w:shd w:val="clear" w:color="auto" w:fill="auto"/>
            <w:vAlign w:val="center"/>
          </w:tcPr>
          <w:p w14:paraId="175F6332" w14:textId="77777777" w:rsidR="004452A0" w:rsidRDefault="004452A0" w:rsidP="00F14C04">
            <w:pPr>
              <w:adjustRightInd w:val="0"/>
              <w:snapToGrid w:val="0"/>
              <w:spacing w:after="0" w:line="240" w:lineRule="auto"/>
              <w:jc w:val="center"/>
              <w:rPr>
                <w:sz w:val="20"/>
                <w:szCs w:val="20"/>
              </w:rPr>
            </w:pPr>
            <w:r>
              <w:rPr>
                <w:sz w:val="20"/>
                <w:szCs w:val="20"/>
              </w:rPr>
              <w:fldChar w:fldCharType="begin"/>
            </w:r>
            <w:r>
              <w:rPr>
                <w:sz w:val="20"/>
                <w:szCs w:val="20"/>
              </w:rPr>
              <w:instrText xml:space="preserve"> ADDIN ZOTERO_ITEM CSL_CITATION {"citationID":"a0bQCobH","properties":{"formattedCitation":"(Weng et al., 2019)","plainCitation":"(Weng et al., 2019)","dontUpdate":true,"noteIndex":0},"citationItems":[{"id":678,"uris":["http://zotero.org/users/8646247/items/29KHMY5I"],"itemData":{"id":678,"type":"article-journal","container-title":"IEEE Transactions on Dependable and Secure Computing","DOI":"10.1109/TDSC.2019.2952332","ISSN":"1545-5971, 1941-0018, 2160-9209","journalAbbreviation":"IEEE Trans. Dependable and Secure Comput.","page":"1-1","source":"DOI.org (Crossref)","title":"DeepChain: Auditable and Privacy-Preserving Deep Learning with Blockchain-based Incentive","title-short":"DeepChain","author":[{"family":"Weng","given":"Jiasi"},{"family":"Weng","given":"Jian"},{"family":"Zhang","given":"Jilian"},{"family":"Li","given":"Ming"},{"family":"Zhang","given":"Yue"},{"family":"Luo","given":"Weiqi"}],"issued":{"date-parts":[["2019"]]},"citation-key":"wengDeepChainAuditablePrivacyPreserving2019"}}],"schema":"https://github.com/citation-style-language/schema/raw/master/csl-citation.json"} </w:instrText>
            </w:r>
            <w:r>
              <w:rPr>
                <w:sz w:val="20"/>
                <w:szCs w:val="20"/>
              </w:rPr>
              <w:fldChar w:fldCharType="separate"/>
            </w:r>
            <w:r>
              <w:rPr>
                <w:sz w:val="20"/>
                <w:szCs w:val="20"/>
              </w:rPr>
              <w:t>Weng et al., 2019</w:t>
            </w:r>
            <w:r>
              <w:rPr>
                <w:sz w:val="20"/>
                <w:szCs w:val="20"/>
              </w:rPr>
              <w:fldChar w:fldCharType="end"/>
            </w:r>
          </w:p>
        </w:tc>
        <w:tc>
          <w:tcPr>
            <w:tcW w:w="3675" w:type="dxa"/>
            <w:tcBorders>
              <w:top w:val="single" w:sz="8" w:space="0" w:color="auto"/>
              <w:bottom w:val="single" w:sz="8" w:space="0" w:color="auto"/>
            </w:tcBorders>
            <w:shd w:val="clear" w:color="auto" w:fill="auto"/>
            <w:vAlign w:val="center"/>
          </w:tcPr>
          <w:p w14:paraId="416D2EA2" w14:textId="77777777" w:rsidR="004452A0" w:rsidRDefault="004452A0" w:rsidP="00F14C04">
            <w:pPr>
              <w:adjustRightInd w:val="0"/>
              <w:snapToGrid w:val="0"/>
              <w:spacing w:after="0" w:line="240" w:lineRule="auto"/>
              <w:jc w:val="center"/>
              <w:rPr>
                <w:sz w:val="20"/>
                <w:szCs w:val="20"/>
              </w:rPr>
            </w:pPr>
            <w:r>
              <w:rPr>
                <w:rFonts w:hint="eastAsia"/>
                <w:sz w:val="20"/>
                <w:szCs w:val="20"/>
              </w:rPr>
              <w:t>F</w:t>
            </w:r>
            <w:r>
              <w:rPr>
                <w:sz w:val="20"/>
                <w:szCs w:val="20"/>
              </w:rPr>
              <w:t>ederal learning</w:t>
            </w:r>
          </w:p>
        </w:tc>
      </w:tr>
      <w:tr w:rsidR="004452A0" w14:paraId="7CAFED58" w14:textId="77777777" w:rsidTr="00F14C04">
        <w:trPr>
          <w:trHeight w:val="487"/>
          <w:jc w:val="center"/>
        </w:trPr>
        <w:tc>
          <w:tcPr>
            <w:tcW w:w="2268" w:type="dxa"/>
            <w:vMerge/>
            <w:tcBorders>
              <w:bottom w:val="single" w:sz="8" w:space="0" w:color="auto"/>
            </w:tcBorders>
            <w:shd w:val="clear" w:color="auto" w:fill="auto"/>
            <w:vAlign w:val="center"/>
          </w:tcPr>
          <w:p w14:paraId="47E7A0E4" w14:textId="77777777" w:rsidR="004452A0" w:rsidRDefault="004452A0" w:rsidP="00F14C04">
            <w:pPr>
              <w:adjustRightInd w:val="0"/>
              <w:snapToGrid w:val="0"/>
              <w:spacing w:after="0" w:line="240" w:lineRule="auto"/>
              <w:jc w:val="center"/>
              <w:rPr>
                <w:sz w:val="20"/>
                <w:szCs w:val="20"/>
              </w:rPr>
            </w:pPr>
          </w:p>
        </w:tc>
        <w:tc>
          <w:tcPr>
            <w:tcW w:w="4424" w:type="dxa"/>
            <w:tcBorders>
              <w:top w:val="single" w:sz="8" w:space="0" w:color="auto"/>
              <w:bottom w:val="single" w:sz="8" w:space="0" w:color="auto"/>
            </w:tcBorders>
            <w:shd w:val="clear" w:color="auto" w:fill="auto"/>
            <w:vAlign w:val="center"/>
          </w:tcPr>
          <w:p w14:paraId="1C143707" w14:textId="77777777" w:rsidR="004452A0" w:rsidRDefault="004452A0" w:rsidP="00F14C04">
            <w:pPr>
              <w:adjustRightInd w:val="0"/>
              <w:snapToGrid w:val="0"/>
              <w:spacing w:after="0" w:line="240" w:lineRule="auto"/>
              <w:jc w:val="center"/>
              <w:rPr>
                <w:sz w:val="20"/>
                <w:szCs w:val="20"/>
              </w:rPr>
            </w:pPr>
            <w:r>
              <w:rPr>
                <w:sz w:val="20"/>
                <w:szCs w:val="20"/>
              </w:rPr>
              <w:fldChar w:fldCharType="begin"/>
            </w:r>
            <w:r>
              <w:rPr>
                <w:sz w:val="20"/>
                <w:szCs w:val="20"/>
              </w:rPr>
              <w:instrText xml:space="preserve"> ADDIN ZOTERO_ITEM CSL_CITATION {"citationID":"GIdgmqkf","properties":{"formattedCitation":"(Dang et al., 2022)","plainCitation":"(Dang et al., 2022)","dontUpdate":true,"noteIndex":0},"citationItems":[{"id":1110,"uris":["http://zotero.org/users/8646247/items/DA36YJD8"],"itemData":{"id":1110,"type":"article-journal","container-title":"International Journal of Intelligent Systems","DOI":"10.1002/int.22670","ISSN":"0884-8173, 1098-111X","issue":"2","journalAbbreviation":"Int J of Intelligent Sys","language":"en","page":"1299-1321","source":"DOI.org (Crossref)","title":"Dynamic incentive mechanism design for regulation</w:instrText>
            </w:r>
            <w:r>
              <w:rPr>
                <w:rFonts w:hint="eastAsia"/>
                <w:sz w:val="20"/>
                <w:szCs w:val="20"/>
              </w:rPr>
              <w:instrText>‐</w:instrText>
            </w:r>
            <w:r>
              <w:rPr>
                <w:sz w:val="20"/>
                <w:szCs w:val="20"/>
              </w:rPr>
              <w:instrText xml:space="preserve">aware systems","volume":"37","author":[{"family":"Dang","given":"Sixuan"},{"family":"Cao","given":"Sheng"},{"family":"Li","given":"Jingwei"},{"family":"Zhang","given":"Xiaosong"}],"issued":{"date-parts":[["2022",2]]},"citation-key":"dangDynamicIncentiveMechanism2022"}}],"schema":"https://github.com/citation-style-language/schema/raw/master/csl-citation.json"} </w:instrText>
            </w:r>
            <w:r>
              <w:rPr>
                <w:sz w:val="20"/>
                <w:szCs w:val="20"/>
              </w:rPr>
              <w:fldChar w:fldCharType="separate"/>
            </w:r>
            <w:r>
              <w:rPr>
                <w:sz w:val="20"/>
                <w:szCs w:val="20"/>
              </w:rPr>
              <w:t>Dang et al., 2022</w:t>
            </w:r>
            <w:r>
              <w:rPr>
                <w:sz w:val="20"/>
                <w:szCs w:val="20"/>
              </w:rPr>
              <w:fldChar w:fldCharType="end"/>
            </w:r>
          </w:p>
        </w:tc>
        <w:tc>
          <w:tcPr>
            <w:tcW w:w="3675" w:type="dxa"/>
            <w:tcBorders>
              <w:top w:val="single" w:sz="8" w:space="0" w:color="auto"/>
              <w:bottom w:val="single" w:sz="8" w:space="0" w:color="auto"/>
            </w:tcBorders>
            <w:shd w:val="clear" w:color="auto" w:fill="auto"/>
            <w:vAlign w:val="center"/>
          </w:tcPr>
          <w:p w14:paraId="4E8FC61C" w14:textId="77777777" w:rsidR="004452A0" w:rsidRDefault="004452A0" w:rsidP="00F14C04">
            <w:pPr>
              <w:adjustRightInd w:val="0"/>
              <w:snapToGrid w:val="0"/>
              <w:spacing w:after="0" w:line="240" w:lineRule="auto"/>
              <w:jc w:val="center"/>
              <w:rPr>
                <w:sz w:val="20"/>
                <w:szCs w:val="20"/>
              </w:rPr>
            </w:pPr>
            <w:r>
              <w:rPr>
                <w:sz w:val="20"/>
                <w:szCs w:val="20"/>
              </w:rPr>
              <w:t>S</w:t>
            </w:r>
            <w:r>
              <w:rPr>
                <w:rFonts w:hint="eastAsia"/>
                <w:sz w:val="20"/>
                <w:szCs w:val="20"/>
              </w:rPr>
              <w:t>upervision</w:t>
            </w:r>
            <w:r>
              <w:rPr>
                <w:sz w:val="20"/>
                <w:szCs w:val="20"/>
              </w:rPr>
              <w:t xml:space="preserve"> </w:t>
            </w:r>
            <w:r>
              <w:rPr>
                <w:rFonts w:hint="eastAsia"/>
                <w:sz w:val="20"/>
                <w:szCs w:val="20"/>
              </w:rPr>
              <w:t>o</w:t>
            </w:r>
            <w:r>
              <w:rPr>
                <w:sz w:val="20"/>
                <w:szCs w:val="20"/>
              </w:rPr>
              <w:t>f</w:t>
            </w:r>
            <w:r>
              <w:rPr>
                <w:rFonts w:hint="eastAsia"/>
                <w:sz w:val="20"/>
                <w:szCs w:val="20"/>
              </w:rPr>
              <w:t xml:space="preserve"> employee behavior</w:t>
            </w:r>
          </w:p>
        </w:tc>
      </w:tr>
      <w:tr w:rsidR="004452A0" w14:paraId="518EDCAD" w14:textId="77777777" w:rsidTr="00F14C04">
        <w:trPr>
          <w:trHeight w:val="470"/>
          <w:jc w:val="center"/>
        </w:trPr>
        <w:tc>
          <w:tcPr>
            <w:tcW w:w="2268" w:type="dxa"/>
            <w:tcBorders>
              <w:top w:val="single" w:sz="8" w:space="0" w:color="auto"/>
              <w:bottom w:val="single" w:sz="12" w:space="0" w:color="auto"/>
            </w:tcBorders>
            <w:shd w:val="clear" w:color="auto" w:fill="auto"/>
            <w:vAlign w:val="center"/>
          </w:tcPr>
          <w:p w14:paraId="04314C9F" w14:textId="77777777" w:rsidR="004452A0" w:rsidRDefault="004452A0" w:rsidP="00F14C04">
            <w:pPr>
              <w:adjustRightInd w:val="0"/>
              <w:snapToGrid w:val="0"/>
              <w:spacing w:after="0" w:line="240" w:lineRule="auto"/>
              <w:jc w:val="center"/>
              <w:rPr>
                <w:sz w:val="20"/>
                <w:szCs w:val="20"/>
              </w:rPr>
            </w:pPr>
            <w:r>
              <w:rPr>
                <w:rFonts w:hint="eastAsia"/>
                <w:sz w:val="20"/>
                <w:szCs w:val="20"/>
              </w:rPr>
              <w:t>D</w:t>
            </w:r>
            <w:r>
              <w:rPr>
                <w:sz w:val="20"/>
                <w:szCs w:val="20"/>
              </w:rPr>
              <w:t>ata security</w:t>
            </w:r>
          </w:p>
        </w:tc>
        <w:bookmarkStart w:id="26" w:name="OLE_LINK20"/>
        <w:tc>
          <w:tcPr>
            <w:tcW w:w="4424" w:type="dxa"/>
            <w:tcBorders>
              <w:top w:val="single" w:sz="8" w:space="0" w:color="auto"/>
              <w:bottom w:val="single" w:sz="12" w:space="0" w:color="auto"/>
            </w:tcBorders>
            <w:shd w:val="clear" w:color="auto" w:fill="auto"/>
            <w:vAlign w:val="center"/>
          </w:tcPr>
          <w:p w14:paraId="725528C8" w14:textId="77777777" w:rsidR="004452A0" w:rsidRDefault="004452A0" w:rsidP="00F14C04">
            <w:pPr>
              <w:adjustRightInd w:val="0"/>
              <w:snapToGrid w:val="0"/>
              <w:spacing w:after="0" w:line="240" w:lineRule="auto"/>
              <w:jc w:val="center"/>
              <w:rPr>
                <w:sz w:val="20"/>
                <w:szCs w:val="20"/>
              </w:rPr>
            </w:pPr>
            <w:r>
              <w:rPr>
                <w:sz w:val="20"/>
                <w:szCs w:val="20"/>
              </w:rPr>
              <w:fldChar w:fldCharType="begin"/>
            </w:r>
            <w:r>
              <w:rPr>
                <w:sz w:val="20"/>
                <w:szCs w:val="20"/>
              </w:rPr>
              <w:instrText xml:space="preserve"> ADDIN ZOTERO_ITEM CSL_CITATION {"citationID":"01x05T12","properties":{"formattedCitation":"(Jung et al., 2021)","plainCitation":"(Jung et al., 2021)","dontUpdate":true,"noteIndex":0},"citationItems":[{"id":1103,"uris":["http://zotero.org/users/8646247/items/YSQD8LLR"],"itemData":{"id":1103,"type":"article-journal","abstract":"Background\n              Despite the fact that the adoption rate of electronic health records has increased dramatically among high-income nations, it is still difficult to properly disseminate personal health records. Token economy, through blockchain smart contracts, can better distribute personal health records by providing incentives to patients. However, there have been very few studies regarding the particular factors that should be considered when designing incentive mechanisms in blockchain.\n            \n            \n              Objective\n              The aim of this paper is to provide 2 new mathematical models of token economy in real-world scenarios on health care blockchain platforms.\n            \n            \n              Methods\n              First, roles were set for the health care blockchain platform and its token flow. Second, 2 scenarios were introduced: collecting life-log data for an incentive program at a life insurance company to motivate customers to exercise more and recruiting participants for clinical trials of anticancer drugs. In our 2 scenarios, we assumed that there were 3 stakeholders: participants, data recipients (companies), and data providers (health care organizations). We also assumed that the incentives are initially paid out to participants by data recipients, who are focused on minimizing economic and time costs by adapting mechanism design. This concept can be seen as a part of game theory, since the willingness-to-pay of data recipients is important in maintaining the blockchain token economy. In both scenarios, the recruiting company can change the expected recruitment time and number of participants. Suppose a company considers the recruitment time to be more important than the number of participants and rewards. In that case, the company can increase the time weight and adjust cost. When the reward parameter is fixed, the corresponding expected recruitment time can be obtained. Among the reward and time pairs, the pair that minimizes the company’s cost was chosen. Finally, the optimized results were compared with the simulations and analyzed accordingly.\n            \n            \n              Results\n              To minimize the company’s costs, reward–time pairs were first collected. It was observed that the expected recruitment time decreased as rewards grew, while the rewards decreased as time cost grew. Therefore, the cost was represented by a convex curve, which made it possible to obtain a minimum—an optimal point—for both scenarios. Through sensitivity analysis, we observed that, as the time weight increased, the optimized reward increased, while the optimized time decreased. Moreover, as the number of participants increased, the optimization reward and time also increased.\n            \n            \n              Conclusions\n              In this study, we were able to model the incentive mechanism of blockchain based on a mechanism design that recruits participants through a health care blockchain platform. This study presents a basic approach to incentive modeling in personal health records, demonstrating how health care organizations and funding companies can motivate one another to join the platform.","container-title":"Journal of Medical Internet Research","DOI":"10.2196/26802","ISSN":"1438-8871","issue":"9","journalAbbreviation":"J Med Internet Res","language":"en","page":"e26802","source":"DOI.org (Crossref)","title":"Mechanism Design of Health Care Blockchain System Token Economy: Development Study Based on Simulated Real-World Scenarios","title-short":"Mechanism Design of Health Care Blockchain System Token Economy","volume":"23","author":[{"family":"Jung","given":"Se Young"},{"family":"Kim","given":"Taehyun"},{"family":"Hwang","given":"Hyung Ju"},{"family":"Hong","given":"Kyungpyo"}],"issued":{"date-parts":[["2021",9,13]]},"citation-key":"jungMechanismDesignHealth2021"}}],"schema":"https://github.com/citation-style-language/schema/raw/master/csl-citation.json"} </w:instrText>
            </w:r>
            <w:r>
              <w:rPr>
                <w:sz w:val="20"/>
                <w:szCs w:val="20"/>
              </w:rPr>
              <w:fldChar w:fldCharType="separate"/>
            </w:r>
            <w:r>
              <w:rPr>
                <w:sz w:val="20"/>
                <w:szCs w:val="20"/>
              </w:rPr>
              <w:t>Jung et al., 2021</w:t>
            </w:r>
            <w:r>
              <w:rPr>
                <w:sz w:val="20"/>
                <w:szCs w:val="20"/>
              </w:rPr>
              <w:fldChar w:fldCharType="end"/>
            </w:r>
            <w:bookmarkEnd w:id="26"/>
          </w:p>
        </w:tc>
        <w:tc>
          <w:tcPr>
            <w:tcW w:w="3675" w:type="dxa"/>
            <w:tcBorders>
              <w:top w:val="single" w:sz="8" w:space="0" w:color="auto"/>
              <w:bottom w:val="single" w:sz="12" w:space="0" w:color="000000"/>
            </w:tcBorders>
            <w:shd w:val="clear" w:color="auto" w:fill="auto"/>
            <w:vAlign w:val="center"/>
          </w:tcPr>
          <w:p w14:paraId="480A6343" w14:textId="77777777" w:rsidR="004452A0" w:rsidRDefault="004452A0" w:rsidP="00F14C04">
            <w:pPr>
              <w:adjustRightInd w:val="0"/>
              <w:snapToGrid w:val="0"/>
              <w:spacing w:after="0" w:line="240" w:lineRule="auto"/>
              <w:jc w:val="center"/>
              <w:rPr>
                <w:sz w:val="20"/>
                <w:szCs w:val="20"/>
              </w:rPr>
            </w:pPr>
            <w:r>
              <w:rPr>
                <w:rFonts w:hint="eastAsia"/>
                <w:sz w:val="20"/>
                <w:szCs w:val="20"/>
              </w:rPr>
              <w:t xml:space="preserve">Medical trial </w:t>
            </w:r>
            <w:r>
              <w:rPr>
                <w:sz w:val="20"/>
                <w:szCs w:val="20"/>
              </w:rPr>
              <w:t>r</w:t>
            </w:r>
            <w:r>
              <w:rPr>
                <w:rFonts w:hint="eastAsia"/>
                <w:sz w:val="20"/>
                <w:szCs w:val="20"/>
              </w:rPr>
              <w:t>ecruitment</w:t>
            </w:r>
          </w:p>
        </w:tc>
      </w:tr>
    </w:tbl>
    <w:p w14:paraId="70B4C2CB" w14:textId="77777777" w:rsidR="004452A0" w:rsidRPr="00C70430" w:rsidRDefault="004452A0" w:rsidP="004452A0">
      <w:pPr>
        <w:adjustRightInd w:val="0"/>
        <w:snapToGrid w:val="0"/>
        <w:spacing w:after="0" w:line="240" w:lineRule="auto"/>
        <w:jc w:val="both"/>
        <w:rPr>
          <w:sz w:val="20"/>
          <w:szCs w:val="20"/>
        </w:rPr>
      </w:pPr>
    </w:p>
    <w:p w14:paraId="61A1DFCD"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In conclusion, these studies </w:t>
      </w:r>
      <w:r>
        <w:rPr>
          <w:sz w:val="20"/>
          <w:szCs w:val="20"/>
        </w:rPr>
        <w:t>demonstrate</w:t>
      </w:r>
      <w:r w:rsidRPr="00C70430">
        <w:rPr>
          <w:sz w:val="20"/>
          <w:szCs w:val="20"/>
        </w:rPr>
        <w:t> the rationale</w:t>
      </w:r>
      <w:r>
        <w:rPr>
          <w:sz w:val="20"/>
          <w:szCs w:val="20"/>
        </w:rPr>
        <w:t>s</w:t>
      </w:r>
      <w:r w:rsidRPr="00C70430">
        <w:rPr>
          <w:sz w:val="20"/>
          <w:szCs w:val="20"/>
        </w:rPr>
        <w:t xml:space="preserve"> and </w:t>
      </w:r>
      <w:r>
        <w:rPr>
          <w:sz w:val="20"/>
          <w:szCs w:val="20"/>
        </w:rPr>
        <w:t>advancements</w:t>
      </w:r>
      <w:r w:rsidRPr="00C70430">
        <w:rPr>
          <w:sz w:val="20"/>
          <w:szCs w:val="20"/>
        </w:rPr>
        <w:t xml:space="preserve"> of employing token incentives instead of traditional virtual credit incentive</w:t>
      </w:r>
      <w:r>
        <w:rPr>
          <w:sz w:val="20"/>
          <w:szCs w:val="20"/>
        </w:rPr>
        <w:t xml:space="preserve">s. </w:t>
      </w:r>
      <w:r w:rsidRPr="00C70430">
        <w:rPr>
          <w:sz w:val="20"/>
          <w:szCs w:val="20"/>
        </w:rPr>
        <w:t xml:space="preserve">However, </w:t>
      </w:r>
      <w:r>
        <w:rPr>
          <w:sz w:val="20"/>
          <w:szCs w:val="20"/>
        </w:rPr>
        <w:t>no direct discussion on the use of</w:t>
      </w:r>
      <w:r w:rsidRPr="00C70430">
        <w:rPr>
          <w:sz w:val="20"/>
          <w:szCs w:val="20"/>
        </w:rPr>
        <w:t xml:space="preserve"> token incentives in </w:t>
      </w:r>
      <w:r>
        <w:rPr>
          <w:sz w:val="20"/>
          <w:szCs w:val="20"/>
        </w:rPr>
        <w:t>email filed has been found</w:t>
      </w:r>
      <w:r w:rsidRPr="00C70430">
        <w:rPr>
          <w:sz w:val="20"/>
          <w:szCs w:val="20"/>
        </w:rPr>
        <w:t>.</w:t>
      </w:r>
      <w:r>
        <w:rPr>
          <w:sz w:val="20"/>
          <w:szCs w:val="20"/>
        </w:rPr>
        <w:t xml:space="preserve"> </w:t>
      </w:r>
      <w:r w:rsidRPr="008D470E">
        <w:rPr>
          <w:sz w:val="20"/>
          <w:szCs w:val="20"/>
        </w:rPr>
        <w:t>These previous studies are of great reference value</w:t>
      </w:r>
      <w:r w:rsidRPr="00C70430">
        <w:rPr>
          <w:sz w:val="20"/>
          <w:szCs w:val="20"/>
        </w:rPr>
        <w:t xml:space="preserve"> for</w:t>
      </w:r>
      <w:r>
        <w:rPr>
          <w:sz w:val="20"/>
          <w:szCs w:val="20"/>
        </w:rPr>
        <w:t xml:space="preserve"> us regarding</w:t>
      </w:r>
      <w:r w:rsidRPr="00C70430">
        <w:rPr>
          <w:sz w:val="20"/>
          <w:szCs w:val="20"/>
        </w:rPr>
        <w:t xml:space="preserve"> the design of token incentive mechanisms </w:t>
      </w:r>
      <w:r>
        <w:rPr>
          <w:sz w:val="20"/>
          <w:szCs w:val="20"/>
        </w:rPr>
        <w:t xml:space="preserve">for spam filtering </w:t>
      </w:r>
      <w:r w:rsidRPr="00C70430">
        <w:rPr>
          <w:sz w:val="20"/>
          <w:szCs w:val="20"/>
        </w:rPr>
        <w:t>in enterprise email systems</w:t>
      </w:r>
      <w:r>
        <w:rPr>
          <w:sz w:val="20"/>
          <w:szCs w:val="20"/>
        </w:rPr>
        <w:t>.</w:t>
      </w:r>
      <w:r w:rsidRPr="00C70430">
        <w:rPr>
          <w:sz w:val="20"/>
          <w:szCs w:val="20"/>
        </w:rPr>
        <w:t xml:space="preserve"> </w:t>
      </w:r>
    </w:p>
    <w:p w14:paraId="1A13B7A2" w14:textId="77777777" w:rsidR="004452A0" w:rsidRPr="008D470E" w:rsidRDefault="004452A0" w:rsidP="004452A0">
      <w:pPr>
        <w:adjustRightInd w:val="0"/>
        <w:snapToGrid w:val="0"/>
        <w:spacing w:after="0" w:line="240" w:lineRule="auto"/>
        <w:jc w:val="both"/>
        <w:rPr>
          <w:sz w:val="20"/>
          <w:szCs w:val="20"/>
        </w:rPr>
      </w:pPr>
    </w:p>
    <w:p w14:paraId="01787482" w14:textId="484AC1FC" w:rsidR="004452A0" w:rsidRPr="00C70430" w:rsidRDefault="004452A0" w:rsidP="004452A0">
      <w:pPr>
        <w:adjustRightInd w:val="0"/>
        <w:snapToGrid w:val="0"/>
        <w:spacing w:after="0" w:line="240" w:lineRule="auto"/>
        <w:jc w:val="center"/>
        <w:rPr>
          <w:rFonts w:eastAsia="DFKai-SB"/>
          <w:b/>
          <w:caps/>
          <w:sz w:val="20"/>
          <w:szCs w:val="20"/>
        </w:rPr>
      </w:pPr>
      <w:r>
        <w:rPr>
          <w:rFonts w:eastAsia="DFKai-SB"/>
          <w:b/>
          <w:caps/>
          <w:sz w:val="20"/>
          <w:szCs w:val="20"/>
        </w:rPr>
        <w:t>Token</w:t>
      </w:r>
      <w:r w:rsidRPr="00C70430">
        <w:rPr>
          <w:rFonts w:eastAsia="DFKai-SB"/>
          <w:b/>
          <w:caps/>
          <w:sz w:val="20"/>
          <w:szCs w:val="20"/>
        </w:rPr>
        <w:t xml:space="preserve"> </w:t>
      </w:r>
      <w:r w:rsidRPr="00C70430">
        <w:rPr>
          <w:rFonts w:eastAsia="DFKai-SB" w:hint="eastAsia"/>
          <w:b/>
          <w:caps/>
          <w:sz w:val="20"/>
          <w:szCs w:val="20"/>
        </w:rPr>
        <w:t>INCENTIV</w:t>
      </w:r>
      <w:r>
        <w:rPr>
          <w:rFonts w:eastAsia="DFKai-SB"/>
          <w:b/>
          <w:caps/>
          <w:sz w:val="20"/>
          <w:szCs w:val="20"/>
        </w:rPr>
        <w:t>e m</w:t>
      </w:r>
      <w:r w:rsidR="00DF7BCE">
        <w:rPr>
          <w:rFonts w:eastAsia="DFKai-SB"/>
          <w:b/>
          <w:caps/>
          <w:sz w:val="20"/>
          <w:szCs w:val="20"/>
        </w:rPr>
        <w:t>E</w:t>
      </w:r>
      <w:r>
        <w:rPr>
          <w:rFonts w:eastAsia="DFKai-SB"/>
          <w:b/>
          <w:caps/>
          <w:sz w:val="20"/>
          <w:szCs w:val="20"/>
        </w:rPr>
        <w:t>chanism design</w:t>
      </w:r>
    </w:p>
    <w:p w14:paraId="051A4A9D" w14:textId="77777777" w:rsidR="004452A0" w:rsidRPr="00C70430" w:rsidRDefault="004452A0" w:rsidP="004452A0">
      <w:pPr>
        <w:adjustRightInd w:val="0"/>
        <w:snapToGrid w:val="0"/>
        <w:spacing w:after="0" w:line="240" w:lineRule="auto"/>
        <w:jc w:val="both"/>
        <w:rPr>
          <w:rFonts w:eastAsia="DFKai-SB"/>
          <w:b/>
          <w:sz w:val="20"/>
          <w:szCs w:val="20"/>
        </w:rPr>
      </w:pPr>
      <w:r>
        <w:rPr>
          <w:rFonts w:eastAsia="DFKai-SB"/>
          <w:b/>
          <w:sz w:val="20"/>
          <w:szCs w:val="20"/>
        </w:rPr>
        <w:t xml:space="preserve">Challenges of Incentive Mechanism among Different </w:t>
      </w:r>
      <w:r w:rsidRPr="00C70430">
        <w:rPr>
          <w:rFonts w:eastAsia="DFKai-SB"/>
          <w:b/>
          <w:sz w:val="20"/>
          <w:szCs w:val="20"/>
        </w:rPr>
        <w:t>Participants</w:t>
      </w:r>
    </w:p>
    <w:p w14:paraId="5CAD2308" w14:textId="22EC3F0D" w:rsidR="004452A0" w:rsidRPr="00894FA2" w:rsidRDefault="004452A0" w:rsidP="004452A0">
      <w:pPr>
        <w:adjustRightInd w:val="0"/>
        <w:snapToGrid w:val="0"/>
        <w:spacing w:after="0" w:line="240" w:lineRule="auto"/>
        <w:jc w:val="both"/>
        <w:rPr>
          <w:rFonts w:eastAsiaTheme="minorEastAsia"/>
          <w:sz w:val="20"/>
          <w:szCs w:val="20"/>
          <w:lang w:eastAsia="zh-CN"/>
        </w:rPr>
      </w:pPr>
      <w:r w:rsidRPr="00C70430">
        <w:rPr>
          <w:sz w:val="20"/>
          <w:szCs w:val="20"/>
        </w:rPr>
        <w:t xml:space="preserve">There are three roles in </w:t>
      </w:r>
      <w:r>
        <w:rPr>
          <w:sz w:val="20"/>
          <w:szCs w:val="20"/>
        </w:rPr>
        <w:t>an</w:t>
      </w:r>
      <w:r w:rsidRPr="00C70430">
        <w:rPr>
          <w:sz w:val="20"/>
          <w:szCs w:val="20"/>
        </w:rPr>
        <w:t xml:space="preserve"> enterprise mail system: user, enterprise, and mail service provider. </w:t>
      </w:r>
      <w:r>
        <w:rPr>
          <w:sz w:val="20"/>
          <w:szCs w:val="20"/>
        </w:rPr>
        <w:t>A</w:t>
      </w:r>
      <w:r w:rsidRPr="00C70430">
        <w:rPr>
          <w:sz w:val="20"/>
          <w:szCs w:val="20"/>
        </w:rPr>
        <w:t xml:space="preserve"> user is the employee who uses the enterprise </w:t>
      </w:r>
      <w:r w:rsidRPr="00DE7639">
        <w:rPr>
          <w:sz w:val="20"/>
          <w:szCs w:val="20"/>
        </w:rPr>
        <w:t>email systems</w:t>
      </w:r>
      <w:r w:rsidRPr="00C70430">
        <w:rPr>
          <w:sz w:val="20"/>
          <w:szCs w:val="20"/>
        </w:rPr>
        <w:t xml:space="preserve"> to handle</w:t>
      </w:r>
      <w:r>
        <w:rPr>
          <w:sz w:val="20"/>
          <w:szCs w:val="20"/>
        </w:rPr>
        <w:t xml:space="preserve"> their work</w:t>
      </w:r>
      <w:r w:rsidRPr="00C70430">
        <w:rPr>
          <w:sz w:val="20"/>
          <w:szCs w:val="20"/>
        </w:rPr>
        <w:t xml:space="preserve">. </w:t>
      </w:r>
      <w:r w:rsidRPr="00E04F6F">
        <w:rPr>
          <w:sz w:val="20"/>
          <w:szCs w:val="20"/>
        </w:rPr>
        <w:t>An</w:t>
      </w:r>
      <w:r w:rsidRPr="00C70430">
        <w:rPr>
          <w:sz w:val="20"/>
          <w:szCs w:val="20"/>
        </w:rPr>
        <w:t xml:space="preserve"> enterprise is the </w:t>
      </w:r>
      <w:r>
        <w:rPr>
          <w:sz w:val="20"/>
          <w:szCs w:val="20"/>
        </w:rPr>
        <w:t>organization</w:t>
      </w:r>
      <w:r w:rsidRPr="00C70430">
        <w:rPr>
          <w:sz w:val="20"/>
          <w:szCs w:val="20"/>
        </w:rPr>
        <w:t xml:space="preserve"> that purchases the mail service. </w:t>
      </w:r>
      <w:r>
        <w:rPr>
          <w:sz w:val="20"/>
          <w:szCs w:val="20"/>
        </w:rPr>
        <w:t>A</w:t>
      </w:r>
      <w:r w:rsidRPr="00C70430">
        <w:rPr>
          <w:sz w:val="20"/>
          <w:szCs w:val="20"/>
        </w:rPr>
        <w:t xml:space="preserve"> mail service provider is </w:t>
      </w:r>
      <w:r>
        <w:rPr>
          <w:sz w:val="20"/>
          <w:szCs w:val="20"/>
        </w:rPr>
        <w:t>the</w:t>
      </w:r>
      <w:r w:rsidRPr="00C70430">
        <w:rPr>
          <w:sz w:val="20"/>
          <w:szCs w:val="20"/>
        </w:rPr>
        <w:t xml:space="preserve"> company that develops mail systems and offers related services. Each of the three </w:t>
      </w:r>
      <w:r>
        <w:rPr>
          <w:sz w:val="20"/>
          <w:szCs w:val="20"/>
        </w:rPr>
        <w:t>participants</w:t>
      </w:r>
      <w:r w:rsidRPr="00C70430">
        <w:rPr>
          <w:sz w:val="20"/>
          <w:szCs w:val="20"/>
        </w:rPr>
        <w:t xml:space="preserve"> has </w:t>
      </w:r>
      <w:r>
        <w:rPr>
          <w:sz w:val="20"/>
          <w:szCs w:val="20"/>
        </w:rPr>
        <w:t>its own</w:t>
      </w:r>
      <w:r w:rsidRPr="00C70430">
        <w:rPr>
          <w:sz w:val="20"/>
          <w:szCs w:val="20"/>
        </w:rPr>
        <w:t xml:space="preserve"> </w:t>
      </w:r>
      <w:r w:rsidR="001D0444">
        <w:rPr>
          <w:sz w:val="20"/>
          <w:szCs w:val="20"/>
        </w:rPr>
        <w:t>needs</w:t>
      </w:r>
      <w:r>
        <w:rPr>
          <w:sz w:val="20"/>
          <w:szCs w:val="20"/>
        </w:rPr>
        <w:t xml:space="preserve">. To better show the motivation behind our blockchain approach, we will analyze the trust issues between the email service providers and their enterprise customers, followed by a discussion of the limitations of </w:t>
      </w:r>
      <w:bookmarkStart w:id="27" w:name="OLE_LINK22"/>
      <w:r>
        <w:rPr>
          <w:sz w:val="20"/>
          <w:szCs w:val="20"/>
        </w:rPr>
        <w:t>traditional monetary end-user rewards.</w:t>
      </w:r>
    </w:p>
    <w:bookmarkEnd w:id="27"/>
    <w:p w14:paraId="7925BF81" w14:textId="77777777" w:rsidR="004452A0" w:rsidRPr="00C70430" w:rsidRDefault="004452A0" w:rsidP="004452A0">
      <w:pPr>
        <w:adjustRightInd w:val="0"/>
        <w:snapToGrid w:val="0"/>
        <w:spacing w:after="0" w:line="240" w:lineRule="auto"/>
        <w:jc w:val="both"/>
        <w:rPr>
          <w:sz w:val="20"/>
          <w:szCs w:val="20"/>
        </w:rPr>
      </w:pPr>
    </w:p>
    <w:p w14:paraId="3830B166"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Service providers seek to collect more spam data by offering incentives to improve </w:t>
      </w:r>
      <w:r>
        <w:rPr>
          <w:sz w:val="20"/>
          <w:szCs w:val="20"/>
        </w:rPr>
        <w:t>spam</w:t>
      </w:r>
      <w:r w:rsidRPr="00C70430">
        <w:rPr>
          <w:sz w:val="20"/>
          <w:szCs w:val="20"/>
        </w:rPr>
        <w:t xml:space="preserve"> filtering capabilities and market competitiveness. In practice, however, service providers cannot completely</w:t>
      </w:r>
      <w:r>
        <w:rPr>
          <w:sz w:val="20"/>
          <w:szCs w:val="20"/>
        </w:rPr>
        <w:t xml:space="preserve"> trust their</w:t>
      </w:r>
      <w:r w:rsidRPr="00C70430">
        <w:rPr>
          <w:sz w:val="20"/>
          <w:szCs w:val="20"/>
        </w:rPr>
        <w:t xml:space="preserve"> enterprise</w:t>
      </w:r>
      <w:r>
        <w:rPr>
          <w:sz w:val="20"/>
          <w:szCs w:val="20"/>
        </w:rPr>
        <w:t xml:space="preserve"> customers</w:t>
      </w:r>
      <w:r w:rsidRPr="00C70430">
        <w:rPr>
          <w:sz w:val="20"/>
          <w:szCs w:val="20"/>
        </w:rPr>
        <w:t xml:space="preserve"> since it is difficult to assure the openness and transparency of incentive issuance regulations.</w:t>
      </w:r>
      <w:r>
        <w:rPr>
          <w:sz w:val="20"/>
          <w:szCs w:val="20"/>
        </w:rPr>
        <w:t xml:space="preserve"> </w:t>
      </w:r>
      <w:proofErr w:type="gramStart"/>
      <w:r>
        <w:rPr>
          <w:sz w:val="20"/>
          <w:szCs w:val="20"/>
        </w:rPr>
        <w:t>In particular, when</w:t>
      </w:r>
      <w:proofErr w:type="gramEnd"/>
      <w:r>
        <w:rPr>
          <w:sz w:val="20"/>
          <w:szCs w:val="20"/>
        </w:rPr>
        <w:t xml:space="preserve"> the incentive service is run locally on the enterprise side, there is no guarantee that the enterprise will not use illegal ways to modify the codes or databases to </w:t>
      </w:r>
      <w:r>
        <w:rPr>
          <w:sz w:val="20"/>
          <w:szCs w:val="20"/>
        </w:rPr>
        <w:lastRenderedPageBreak/>
        <w:t>defraud rewards. From the perspective of a service provider, it is eager to take control of the incentive-related codes and databases, and it desires that the incentive service execute locally on the service provider side.</w:t>
      </w:r>
    </w:p>
    <w:p w14:paraId="3F126182" w14:textId="77777777" w:rsidR="004452A0" w:rsidRPr="00C70430" w:rsidRDefault="004452A0" w:rsidP="004452A0">
      <w:pPr>
        <w:adjustRightInd w:val="0"/>
        <w:snapToGrid w:val="0"/>
        <w:spacing w:after="0" w:line="240" w:lineRule="auto"/>
        <w:jc w:val="both"/>
        <w:rPr>
          <w:sz w:val="20"/>
          <w:szCs w:val="20"/>
        </w:rPr>
      </w:pPr>
    </w:p>
    <w:p w14:paraId="3F338EB2" w14:textId="77777777" w:rsidR="004452A0" w:rsidRPr="00C70430" w:rsidRDefault="004452A0" w:rsidP="004452A0">
      <w:pPr>
        <w:adjustRightInd w:val="0"/>
        <w:snapToGrid w:val="0"/>
        <w:spacing w:after="0" w:line="240" w:lineRule="auto"/>
        <w:jc w:val="both"/>
        <w:rPr>
          <w:sz w:val="20"/>
          <w:szCs w:val="20"/>
        </w:rPr>
      </w:pPr>
      <w:r>
        <w:rPr>
          <w:sz w:val="20"/>
          <w:szCs w:val="20"/>
        </w:rPr>
        <w:t>Similarly, the enterprises</w:t>
      </w:r>
      <w:r w:rsidRPr="00C70430">
        <w:rPr>
          <w:sz w:val="20"/>
          <w:szCs w:val="20"/>
        </w:rPr>
        <w:t xml:space="preserve"> do</w:t>
      </w:r>
      <w:r>
        <w:rPr>
          <w:sz w:val="20"/>
          <w:szCs w:val="20"/>
        </w:rPr>
        <w:t xml:space="preserve"> not</w:t>
      </w:r>
      <w:r w:rsidRPr="00C70430">
        <w:rPr>
          <w:sz w:val="20"/>
          <w:szCs w:val="20"/>
        </w:rPr>
        <w:t xml:space="preserve"> fully trust</w:t>
      </w:r>
      <w:r>
        <w:rPr>
          <w:sz w:val="20"/>
          <w:szCs w:val="20"/>
        </w:rPr>
        <w:t xml:space="preserve"> the email</w:t>
      </w:r>
      <w:r w:rsidRPr="00C70430">
        <w:rPr>
          <w:sz w:val="20"/>
          <w:szCs w:val="20"/>
        </w:rPr>
        <w:t xml:space="preserve"> service providers. </w:t>
      </w:r>
      <w:r>
        <w:rPr>
          <w:sz w:val="20"/>
          <w:szCs w:val="20"/>
        </w:rPr>
        <w:t>An</w:t>
      </w:r>
      <w:r w:rsidRPr="00C70430">
        <w:rPr>
          <w:sz w:val="20"/>
          <w:szCs w:val="20"/>
        </w:rPr>
        <w:t xml:space="preserve"> enterprise, like the service provider, cannot</w:t>
      </w:r>
      <w:r w:rsidRPr="006D03F4">
        <w:t xml:space="preserve"> </w:t>
      </w:r>
      <w:r w:rsidRPr="006D03F4">
        <w:rPr>
          <w:sz w:val="20"/>
          <w:szCs w:val="20"/>
        </w:rPr>
        <w:t>guarantee</w:t>
      </w:r>
      <w:r w:rsidRPr="00C70430">
        <w:rPr>
          <w:sz w:val="20"/>
          <w:szCs w:val="20"/>
        </w:rPr>
        <w:t xml:space="preserve"> that </w:t>
      </w:r>
      <w:r>
        <w:rPr>
          <w:sz w:val="20"/>
          <w:szCs w:val="20"/>
        </w:rPr>
        <w:t xml:space="preserve">the </w:t>
      </w:r>
      <w:r w:rsidRPr="00C70430">
        <w:rPr>
          <w:sz w:val="20"/>
          <w:szCs w:val="20"/>
        </w:rPr>
        <w:t xml:space="preserve">provider will not change the rules and database </w:t>
      </w:r>
      <w:r>
        <w:rPr>
          <w:sz w:val="20"/>
          <w:szCs w:val="20"/>
        </w:rPr>
        <w:t>at the backend</w:t>
      </w:r>
      <w:r w:rsidRPr="00C70430">
        <w:rPr>
          <w:sz w:val="20"/>
          <w:szCs w:val="20"/>
        </w:rPr>
        <w:t>, reducing the issuance of incentives deserved by the enterprise and</w:t>
      </w:r>
      <w:r>
        <w:rPr>
          <w:sz w:val="20"/>
          <w:szCs w:val="20"/>
        </w:rPr>
        <w:t xml:space="preserve"> its</w:t>
      </w:r>
      <w:r w:rsidRPr="00C70430">
        <w:rPr>
          <w:sz w:val="20"/>
          <w:szCs w:val="20"/>
        </w:rPr>
        <w:t xml:space="preserve"> users. </w:t>
      </w:r>
      <w:r>
        <w:rPr>
          <w:sz w:val="20"/>
          <w:szCs w:val="20"/>
        </w:rPr>
        <w:t>Moreover</w:t>
      </w:r>
      <w:r w:rsidRPr="00C70430">
        <w:rPr>
          <w:sz w:val="20"/>
          <w:szCs w:val="20"/>
        </w:rPr>
        <w:t>, many large organization</w:t>
      </w:r>
      <w:r>
        <w:rPr>
          <w:sz w:val="20"/>
          <w:szCs w:val="20"/>
        </w:rPr>
        <w:t>s require</w:t>
      </w:r>
      <w:r w:rsidRPr="00C70430">
        <w:rPr>
          <w:sz w:val="20"/>
          <w:szCs w:val="20"/>
        </w:rPr>
        <w:t xml:space="preserve"> run</w:t>
      </w:r>
      <w:r>
        <w:rPr>
          <w:sz w:val="20"/>
          <w:szCs w:val="20"/>
        </w:rPr>
        <w:t>ning</w:t>
      </w:r>
      <w:r w:rsidRPr="00C70430">
        <w:rPr>
          <w:sz w:val="20"/>
          <w:szCs w:val="20"/>
        </w:rPr>
        <w:t xml:space="preserve"> their mail systems locally to ensure data security and privacy. It </w:t>
      </w:r>
      <w:r>
        <w:rPr>
          <w:sz w:val="20"/>
          <w:szCs w:val="20"/>
        </w:rPr>
        <w:t>may be</w:t>
      </w:r>
      <w:r w:rsidRPr="00C70430">
        <w:rPr>
          <w:sz w:val="20"/>
          <w:szCs w:val="20"/>
        </w:rPr>
        <w:t xml:space="preserve"> unacceptable for </w:t>
      </w:r>
      <w:r>
        <w:rPr>
          <w:sz w:val="20"/>
          <w:szCs w:val="20"/>
        </w:rPr>
        <w:t xml:space="preserve">them to allow </w:t>
      </w:r>
      <w:r w:rsidRPr="00C70430">
        <w:rPr>
          <w:sz w:val="20"/>
          <w:szCs w:val="20"/>
        </w:rPr>
        <w:t xml:space="preserve">the </w:t>
      </w:r>
      <w:r>
        <w:rPr>
          <w:sz w:val="20"/>
          <w:szCs w:val="20"/>
        </w:rPr>
        <w:t xml:space="preserve">email </w:t>
      </w:r>
      <w:r w:rsidRPr="00C70430">
        <w:rPr>
          <w:sz w:val="20"/>
          <w:szCs w:val="20"/>
        </w:rPr>
        <w:t>service provider to</w:t>
      </w:r>
      <w:r>
        <w:rPr>
          <w:sz w:val="20"/>
          <w:szCs w:val="20"/>
        </w:rPr>
        <w:t xml:space="preserve"> gain control of</w:t>
      </w:r>
      <w:r w:rsidRPr="00C70430">
        <w:rPr>
          <w:sz w:val="20"/>
          <w:szCs w:val="20"/>
        </w:rPr>
        <w:t xml:space="preserve"> the incentive service, which </w:t>
      </w:r>
      <w:r>
        <w:rPr>
          <w:sz w:val="20"/>
          <w:szCs w:val="20"/>
        </w:rPr>
        <w:t>may reveal some operational information of its employees</w:t>
      </w:r>
      <w:r w:rsidRPr="00C70430">
        <w:rPr>
          <w:sz w:val="20"/>
          <w:szCs w:val="20"/>
        </w:rPr>
        <w:t>.</w:t>
      </w:r>
      <w:r>
        <w:rPr>
          <w:sz w:val="20"/>
          <w:szCs w:val="20"/>
        </w:rPr>
        <w:t xml:space="preserve"> Obviously, there is a significant conflict regarding the control of the incentive sub-system between the service provides and their enterprise customers. </w:t>
      </w:r>
    </w:p>
    <w:p w14:paraId="37F60DAB" w14:textId="77777777" w:rsidR="004452A0" w:rsidRPr="00C70430" w:rsidRDefault="004452A0" w:rsidP="004452A0">
      <w:pPr>
        <w:adjustRightInd w:val="0"/>
        <w:snapToGrid w:val="0"/>
        <w:spacing w:after="0" w:line="240" w:lineRule="auto"/>
        <w:jc w:val="both"/>
        <w:rPr>
          <w:sz w:val="20"/>
          <w:szCs w:val="20"/>
        </w:rPr>
      </w:pPr>
    </w:p>
    <w:p w14:paraId="75772C24" w14:textId="77777777" w:rsidR="004452A0" w:rsidRPr="00C70430" w:rsidRDefault="004452A0" w:rsidP="004452A0">
      <w:pPr>
        <w:adjustRightInd w:val="0"/>
        <w:snapToGrid w:val="0"/>
        <w:spacing w:after="0" w:line="240" w:lineRule="auto"/>
        <w:jc w:val="both"/>
        <w:rPr>
          <w:sz w:val="20"/>
          <w:szCs w:val="20"/>
        </w:rPr>
      </w:pPr>
      <w:bookmarkStart w:id="28" w:name="OLE_LINK24"/>
      <w:r>
        <w:rPr>
          <w:sz w:val="20"/>
          <w:szCs w:val="20"/>
        </w:rPr>
        <w:t xml:space="preserve">When it comes to the end-user side, i.e., the employees in the enterprises, in most of the traditional designs, </w:t>
      </w:r>
      <w:r w:rsidRPr="00C70430">
        <w:rPr>
          <w:sz w:val="20"/>
          <w:szCs w:val="20"/>
        </w:rPr>
        <w:t xml:space="preserve">reporting of </w:t>
      </w:r>
      <w:r w:rsidRPr="00C70430">
        <w:rPr>
          <w:rFonts w:hint="eastAsia"/>
          <w:sz w:val="20"/>
          <w:szCs w:val="20"/>
        </w:rPr>
        <w:t>spam</w:t>
      </w:r>
      <w:r w:rsidRPr="00C70430">
        <w:rPr>
          <w:sz w:val="20"/>
          <w:szCs w:val="20"/>
        </w:rPr>
        <w:t xml:space="preserve"> </w:t>
      </w:r>
      <w:r>
        <w:rPr>
          <w:sz w:val="20"/>
          <w:szCs w:val="20"/>
        </w:rPr>
        <w:t>is just a voluntary activity of users in order to receive</w:t>
      </w:r>
      <w:r w:rsidRPr="00C70430">
        <w:rPr>
          <w:sz w:val="20"/>
          <w:szCs w:val="20"/>
        </w:rPr>
        <w:t xml:space="preserve"> more accurate filtering services</w:t>
      </w:r>
      <w:r>
        <w:rPr>
          <w:sz w:val="20"/>
          <w:szCs w:val="20"/>
        </w:rPr>
        <w:t>.</w:t>
      </w:r>
      <w:bookmarkEnd w:id="28"/>
      <w:r>
        <w:rPr>
          <w:sz w:val="20"/>
          <w:szCs w:val="20"/>
        </w:rPr>
        <w:t xml:space="preserve"> This is far from </w:t>
      </w:r>
      <w:r w:rsidRPr="00307391">
        <w:rPr>
          <w:sz w:val="20"/>
          <w:szCs w:val="20"/>
        </w:rPr>
        <w:t>satisfactory</w:t>
      </w:r>
      <w:r>
        <w:rPr>
          <w:sz w:val="20"/>
          <w:szCs w:val="20"/>
        </w:rPr>
        <w:t>, even with monetary incentives.</w:t>
      </w:r>
      <w:r w:rsidRPr="00C70430">
        <w:rPr>
          <w:sz w:val="20"/>
          <w:szCs w:val="20"/>
        </w:rPr>
        <w:t xml:space="preserve"> </w:t>
      </w:r>
      <w:r w:rsidRPr="005532BF">
        <w:rPr>
          <w:sz w:val="20"/>
          <w:szCs w:val="20"/>
        </w:rPr>
        <w:t>Economically speaking</w:t>
      </w:r>
      <w:r w:rsidRPr="00C70430">
        <w:rPr>
          <w:sz w:val="20"/>
          <w:szCs w:val="20"/>
        </w:rPr>
        <w:t xml:space="preserve">, service providers </w:t>
      </w:r>
      <w:r>
        <w:rPr>
          <w:sz w:val="20"/>
          <w:szCs w:val="20"/>
        </w:rPr>
        <w:t>should</w:t>
      </w:r>
      <w:r w:rsidRPr="00C70430">
        <w:rPr>
          <w:sz w:val="20"/>
          <w:szCs w:val="20"/>
        </w:rPr>
        <w:t xml:space="preserve"> consider the actual cost</w:t>
      </w:r>
      <w:r>
        <w:rPr>
          <w:sz w:val="20"/>
          <w:szCs w:val="20"/>
        </w:rPr>
        <w:t xml:space="preserve"> and benefit of offering incentives</w:t>
      </w:r>
      <w:r w:rsidRPr="00C70430">
        <w:rPr>
          <w:sz w:val="20"/>
          <w:szCs w:val="20"/>
        </w:rPr>
        <w:t xml:space="preserve">. </w:t>
      </w:r>
      <w:r>
        <w:rPr>
          <w:sz w:val="20"/>
          <w:szCs w:val="20"/>
        </w:rPr>
        <w:t>T</w:t>
      </w:r>
      <w:r w:rsidRPr="00C70430">
        <w:rPr>
          <w:sz w:val="20"/>
          <w:szCs w:val="20"/>
        </w:rPr>
        <w:t xml:space="preserve">he </w:t>
      </w:r>
      <w:bookmarkStart w:id="29" w:name="OLE_LINK23"/>
      <w:r>
        <w:rPr>
          <w:sz w:val="20"/>
          <w:szCs w:val="20"/>
        </w:rPr>
        <w:t>monetary</w:t>
      </w:r>
      <w:bookmarkEnd w:id="29"/>
      <w:r>
        <w:rPr>
          <w:sz w:val="20"/>
          <w:szCs w:val="20"/>
        </w:rPr>
        <w:t xml:space="preserve"> rewards</w:t>
      </w:r>
      <w:r w:rsidRPr="00C70430">
        <w:rPr>
          <w:sz w:val="20"/>
          <w:szCs w:val="20"/>
        </w:rPr>
        <w:t xml:space="preserve"> obtained by</w:t>
      </w:r>
      <w:r>
        <w:rPr>
          <w:sz w:val="20"/>
          <w:szCs w:val="20"/>
        </w:rPr>
        <w:t xml:space="preserve"> every</w:t>
      </w:r>
      <w:r w:rsidRPr="00C70430">
        <w:rPr>
          <w:sz w:val="20"/>
          <w:szCs w:val="20"/>
        </w:rPr>
        <w:t xml:space="preserve"> user for reporting spam </w:t>
      </w:r>
      <w:r>
        <w:rPr>
          <w:sz w:val="20"/>
          <w:szCs w:val="20"/>
        </w:rPr>
        <w:t>would</w:t>
      </w:r>
      <w:r w:rsidRPr="00C70430">
        <w:rPr>
          <w:sz w:val="20"/>
          <w:szCs w:val="20"/>
        </w:rPr>
        <w:t xml:space="preserve"> be </w:t>
      </w:r>
      <w:r>
        <w:rPr>
          <w:sz w:val="20"/>
          <w:szCs w:val="20"/>
        </w:rPr>
        <w:t>tiny</w:t>
      </w:r>
      <w:r w:rsidRPr="00C70430">
        <w:rPr>
          <w:sz w:val="20"/>
          <w:szCs w:val="20"/>
        </w:rPr>
        <w:t xml:space="preserve">, </w:t>
      </w:r>
      <w:r>
        <w:rPr>
          <w:sz w:val="20"/>
          <w:szCs w:val="20"/>
        </w:rPr>
        <w:t>resulting in very little incentive effect, but the total cost of the service providers can be substantial</w:t>
      </w:r>
      <w:r w:rsidRPr="00C70430">
        <w:rPr>
          <w:sz w:val="20"/>
          <w:szCs w:val="20"/>
        </w:rPr>
        <w:t xml:space="preserve">. </w:t>
      </w:r>
      <w:r>
        <w:rPr>
          <w:sz w:val="20"/>
          <w:szCs w:val="20"/>
        </w:rPr>
        <w:t>How to lower the cost and increase the effectiveness of rewards is a crucial design challenge for incentive mechanisms.</w:t>
      </w:r>
    </w:p>
    <w:p w14:paraId="77E544CE" w14:textId="77777777" w:rsidR="004452A0" w:rsidRPr="00C70430" w:rsidRDefault="004452A0" w:rsidP="004452A0">
      <w:pPr>
        <w:adjustRightInd w:val="0"/>
        <w:snapToGrid w:val="0"/>
        <w:spacing w:after="0" w:line="240" w:lineRule="auto"/>
        <w:jc w:val="both"/>
        <w:rPr>
          <w:sz w:val="20"/>
          <w:szCs w:val="20"/>
        </w:rPr>
      </w:pPr>
    </w:p>
    <w:p w14:paraId="318D8A0C"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To summarize, </w:t>
      </w:r>
      <w:r>
        <w:rPr>
          <w:sz w:val="20"/>
          <w:szCs w:val="20"/>
        </w:rPr>
        <w:t xml:space="preserve">targeting the trust issues, </w:t>
      </w:r>
      <w:r w:rsidRPr="00C70430">
        <w:rPr>
          <w:sz w:val="20"/>
          <w:szCs w:val="20"/>
        </w:rPr>
        <w:t xml:space="preserve">a decentralized </w:t>
      </w:r>
      <w:r>
        <w:rPr>
          <w:sz w:val="20"/>
          <w:szCs w:val="20"/>
        </w:rPr>
        <w:t>structure</w:t>
      </w:r>
      <w:r w:rsidRPr="00C70430">
        <w:rPr>
          <w:sz w:val="20"/>
          <w:szCs w:val="20"/>
        </w:rPr>
        <w:t xml:space="preserve"> is required to </w:t>
      </w:r>
      <w:r>
        <w:rPr>
          <w:sz w:val="20"/>
          <w:szCs w:val="20"/>
        </w:rPr>
        <w:t>meet</w:t>
      </w:r>
      <w:r w:rsidRPr="00C70430">
        <w:rPr>
          <w:sz w:val="20"/>
          <w:szCs w:val="20"/>
        </w:rPr>
        <w:t xml:space="preserve"> the needs of the three roles in the system</w:t>
      </w:r>
      <w:r>
        <w:rPr>
          <w:sz w:val="20"/>
          <w:szCs w:val="20"/>
        </w:rPr>
        <w:t>. This is</w:t>
      </w:r>
      <w:r w:rsidRPr="00C70430">
        <w:rPr>
          <w:sz w:val="20"/>
          <w:szCs w:val="20"/>
        </w:rPr>
        <w:t xml:space="preserve"> </w:t>
      </w:r>
      <w:r>
        <w:rPr>
          <w:sz w:val="20"/>
          <w:szCs w:val="20"/>
        </w:rPr>
        <w:t>one of our main motivations to embrace blockchain in our design</w:t>
      </w:r>
      <w:r w:rsidRPr="00C70430">
        <w:rPr>
          <w:sz w:val="20"/>
          <w:szCs w:val="20"/>
        </w:rPr>
        <w:t xml:space="preserve">. The decentralized </w:t>
      </w:r>
      <w:r>
        <w:rPr>
          <w:sz w:val="20"/>
          <w:szCs w:val="20"/>
        </w:rPr>
        <w:t>nature of blockchain</w:t>
      </w:r>
      <w:r w:rsidRPr="00C70430">
        <w:rPr>
          <w:sz w:val="20"/>
          <w:szCs w:val="20"/>
        </w:rPr>
        <w:t xml:space="preserve"> allows the </w:t>
      </w:r>
      <w:r>
        <w:rPr>
          <w:sz w:val="20"/>
          <w:szCs w:val="20"/>
        </w:rPr>
        <w:t>operation</w:t>
      </w:r>
      <w:r w:rsidRPr="00C70430">
        <w:rPr>
          <w:sz w:val="20"/>
          <w:szCs w:val="20"/>
        </w:rPr>
        <w:t xml:space="preserve"> ledger to be distributed and stored among enterprises and service providers, hence resolving the trust issue between them. The on-chain smart contract enables automatic incentive issuance execution thus ensuring the openness and transparency of incentive issuance rules.</w:t>
      </w:r>
      <w:r>
        <w:rPr>
          <w:sz w:val="20"/>
          <w:szCs w:val="20"/>
        </w:rPr>
        <w:t xml:space="preserve"> Moreover, the tradable and </w:t>
      </w:r>
      <w:r w:rsidRPr="00CB72F1">
        <w:rPr>
          <w:sz w:val="20"/>
          <w:szCs w:val="20"/>
        </w:rPr>
        <w:t>multi-dimensional</w:t>
      </w:r>
      <w:r>
        <w:rPr>
          <w:sz w:val="20"/>
          <w:szCs w:val="20"/>
        </w:rPr>
        <w:t>-</w:t>
      </w:r>
      <w:r w:rsidRPr="00CB72F1">
        <w:rPr>
          <w:sz w:val="20"/>
          <w:szCs w:val="20"/>
        </w:rPr>
        <w:t>value</w:t>
      </w:r>
      <w:r>
        <w:rPr>
          <w:sz w:val="20"/>
          <w:szCs w:val="20"/>
        </w:rPr>
        <w:t xml:space="preserve"> natures of blockchain tokens allow us to design the incentive mechanism in an </w:t>
      </w:r>
      <w:r w:rsidRPr="00CB72F1">
        <w:rPr>
          <w:sz w:val="20"/>
          <w:szCs w:val="20"/>
        </w:rPr>
        <w:t>ecological</w:t>
      </w:r>
      <w:r>
        <w:rPr>
          <w:sz w:val="20"/>
          <w:szCs w:val="20"/>
        </w:rPr>
        <w:t xml:space="preserve"> manner, which can be expected to improve the efficiency.</w:t>
      </w:r>
    </w:p>
    <w:p w14:paraId="1DF5C7E7" w14:textId="77777777" w:rsidR="004452A0" w:rsidRPr="00C70430" w:rsidRDefault="004452A0" w:rsidP="004452A0">
      <w:pPr>
        <w:adjustRightInd w:val="0"/>
        <w:snapToGrid w:val="0"/>
        <w:spacing w:after="0" w:line="240" w:lineRule="auto"/>
        <w:jc w:val="both"/>
        <w:rPr>
          <w:sz w:val="20"/>
          <w:szCs w:val="20"/>
        </w:rPr>
      </w:pPr>
    </w:p>
    <w:p w14:paraId="79029EB7" w14:textId="77777777" w:rsidR="004452A0" w:rsidRPr="00C70430" w:rsidRDefault="004452A0" w:rsidP="004452A0">
      <w:pPr>
        <w:adjustRightInd w:val="0"/>
        <w:snapToGrid w:val="0"/>
        <w:spacing w:after="0" w:line="240" w:lineRule="auto"/>
        <w:jc w:val="both"/>
        <w:rPr>
          <w:rFonts w:eastAsia="DFKai-SB"/>
          <w:b/>
          <w:sz w:val="20"/>
          <w:szCs w:val="20"/>
        </w:rPr>
      </w:pPr>
      <w:bookmarkStart w:id="30" w:name="_Hlk113026387"/>
      <w:bookmarkStart w:id="31" w:name="OLE_LINK554"/>
      <w:r>
        <w:rPr>
          <w:rFonts w:eastAsia="DFKai-SB"/>
          <w:b/>
          <w:sz w:val="20"/>
          <w:szCs w:val="20"/>
        </w:rPr>
        <w:t>Users’ Spam</w:t>
      </w:r>
      <w:r w:rsidRPr="00C70430">
        <w:rPr>
          <w:rFonts w:eastAsia="DFKai-SB"/>
          <w:b/>
          <w:sz w:val="20"/>
          <w:szCs w:val="20"/>
        </w:rPr>
        <w:t xml:space="preserve"> </w:t>
      </w:r>
      <w:r w:rsidRPr="00C70430">
        <w:rPr>
          <w:rFonts w:eastAsia="DFKai-SB" w:hint="eastAsia"/>
          <w:b/>
          <w:sz w:val="20"/>
          <w:szCs w:val="20"/>
        </w:rPr>
        <w:t>R</w:t>
      </w:r>
      <w:r w:rsidRPr="00C70430">
        <w:rPr>
          <w:rFonts w:eastAsia="DFKai-SB"/>
          <w:b/>
          <w:sz w:val="20"/>
          <w:szCs w:val="20"/>
        </w:rPr>
        <w:t>eport</w:t>
      </w:r>
      <w:r>
        <w:rPr>
          <w:rFonts w:eastAsia="DFKai-SB"/>
          <w:b/>
          <w:sz w:val="20"/>
          <w:szCs w:val="20"/>
        </w:rPr>
        <w:t>ing</w:t>
      </w:r>
      <w:r w:rsidRPr="00C70430">
        <w:rPr>
          <w:rFonts w:eastAsia="DFKai-SB"/>
          <w:b/>
          <w:sz w:val="20"/>
          <w:szCs w:val="20"/>
        </w:rPr>
        <w:t xml:space="preserve"> and </w:t>
      </w:r>
      <w:r w:rsidRPr="00C70430">
        <w:rPr>
          <w:rFonts w:eastAsia="DFKai-SB" w:hint="eastAsia"/>
          <w:b/>
          <w:sz w:val="20"/>
          <w:szCs w:val="20"/>
        </w:rPr>
        <w:t>Token</w:t>
      </w:r>
      <w:r w:rsidRPr="00C70430">
        <w:rPr>
          <w:rFonts w:eastAsia="DFKai-SB"/>
          <w:b/>
          <w:sz w:val="20"/>
          <w:szCs w:val="20"/>
        </w:rPr>
        <w:t xml:space="preserve"> </w:t>
      </w:r>
      <w:r w:rsidRPr="00C70430">
        <w:rPr>
          <w:rFonts w:eastAsia="DFKai-SB" w:hint="eastAsia"/>
          <w:b/>
          <w:sz w:val="20"/>
          <w:szCs w:val="20"/>
        </w:rPr>
        <w:t>Incentive</w:t>
      </w:r>
      <w:r>
        <w:rPr>
          <w:rFonts w:eastAsia="DFKai-SB"/>
          <w:b/>
          <w:sz w:val="20"/>
          <w:szCs w:val="20"/>
        </w:rPr>
        <w:t>s</w:t>
      </w:r>
    </w:p>
    <w:bookmarkEnd w:id="30"/>
    <w:bookmarkEnd w:id="31"/>
    <w:p w14:paraId="748FBC5A" w14:textId="77777777" w:rsidR="004452A0" w:rsidRDefault="004452A0" w:rsidP="004452A0">
      <w:pPr>
        <w:adjustRightInd w:val="0"/>
        <w:snapToGrid w:val="0"/>
        <w:spacing w:after="0" w:line="240" w:lineRule="auto"/>
        <w:jc w:val="both"/>
        <w:rPr>
          <w:sz w:val="20"/>
          <w:szCs w:val="20"/>
        </w:rPr>
      </w:pPr>
      <w:r w:rsidRPr="00C70430">
        <w:rPr>
          <w:sz w:val="20"/>
          <w:szCs w:val="20"/>
        </w:rPr>
        <w:t>The tokens circulating in the system are referred to as report</w:t>
      </w:r>
      <w:r>
        <w:rPr>
          <w:sz w:val="20"/>
          <w:szCs w:val="20"/>
        </w:rPr>
        <w:t>ing</w:t>
      </w:r>
      <w:r w:rsidRPr="00C70430">
        <w:rPr>
          <w:sz w:val="20"/>
          <w:szCs w:val="20"/>
        </w:rPr>
        <w:t xml:space="preserve"> tokens. Reporting token incentive</w:t>
      </w:r>
      <w:r>
        <w:rPr>
          <w:sz w:val="20"/>
          <w:szCs w:val="20"/>
        </w:rPr>
        <w:t xml:space="preserve">s mean </w:t>
      </w:r>
      <w:r w:rsidRPr="00C70430">
        <w:rPr>
          <w:sz w:val="20"/>
          <w:szCs w:val="20"/>
        </w:rPr>
        <w:t xml:space="preserve">that users who report </w:t>
      </w:r>
      <w:r>
        <w:rPr>
          <w:sz w:val="20"/>
          <w:szCs w:val="20"/>
        </w:rPr>
        <w:t xml:space="preserve">valid </w:t>
      </w:r>
      <w:r w:rsidRPr="00C70430">
        <w:rPr>
          <w:sz w:val="20"/>
          <w:szCs w:val="20"/>
        </w:rPr>
        <w:t>spam are rewarded in the form of tokens. Users can obtain tokens</w:t>
      </w:r>
      <w:r>
        <w:rPr>
          <w:sz w:val="20"/>
          <w:szCs w:val="20"/>
        </w:rPr>
        <w:t xml:space="preserve"> </w:t>
      </w:r>
      <w:r w:rsidRPr="00C70430">
        <w:rPr>
          <w:sz w:val="20"/>
          <w:szCs w:val="20"/>
        </w:rPr>
        <w:t xml:space="preserve">only by reporting spam. The service provider collects the spam </w:t>
      </w:r>
      <w:r>
        <w:rPr>
          <w:sz w:val="20"/>
          <w:szCs w:val="20"/>
        </w:rPr>
        <w:t>reported by users</w:t>
      </w:r>
      <w:r w:rsidRPr="00C70430">
        <w:rPr>
          <w:sz w:val="20"/>
          <w:szCs w:val="20"/>
        </w:rPr>
        <w:t xml:space="preserve"> and </w:t>
      </w:r>
      <w:r>
        <w:rPr>
          <w:sz w:val="20"/>
          <w:szCs w:val="20"/>
        </w:rPr>
        <w:t>awards them with tokens.</w:t>
      </w:r>
      <w:r w:rsidRPr="00C70430">
        <w:rPr>
          <w:sz w:val="20"/>
          <w:szCs w:val="20"/>
        </w:rPr>
        <w:t xml:space="preserve"> </w:t>
      </w:r>
      <w:r>
        <w:rPr>
          <w:sz w:val="20"/>
          <w:szCs w:val="20"/>
        </w:rPr>
        <w:t>T</w:t>
      </w:r>
      <w:r w:rsidRPr="00324377">
        <w:rPr>
          <w:sz w:val="20"/>
          <w:szCs w:val="20"/>
        </w:rPr>
        <w:t xml:space="preserve">he enterprise acts as the mail auditor to prevent the leak of </w:t>
      </w:r>
      <w:r>
        <w:rPr>
          <w:sz w:val="20"/>
          <w:szCs w:val="20"/>
        </w:rPr>
        <w:t>confidential information, and</w:t>
      </w:r>
      <w:bookmarkStart w:id="32" w:name="OLE_LINK25"/>
      <w:r>
        <w:rPr>
          <w:sz w:val="20"/>
          <w:szCs w:val="20"/>
        </w:rPr>
        <w:t xml:space="preserve"> it also</w:t>
      </w:r>
      <w:r w:rsidRPr="00C70430">
        <w:rPr>
          <w:sz w:val="20"/>
          <w:szCs w:val="20"/>
        </w:rPr>
        <w:t xml:space="preserve"> </w:t>
      </w:r>
      <w:r>
        <w:rPr>
          <w:sz w:val="20"/>
          <w:szCs w:val="20"/>
        </w:rPr>
        <w:t>provides the token redeeming service for its employees</w:t>
      </w:r>
      <w:r w:rsidRPr="00C70430">
        <w:rPr>
          <w:sz w:val="20"/>
          <w:szCs w:val="20"/>
        </w:rPr>
        <w:t>.</w:t>
      </w:r>
      <w:bookmarkEnd w:id="32"/>
      <w:r w:rsidRPr="00C70430">
        <w:rPr>
          <w:sz w:val="20"/>
          <w:szCs w:val="20"/>
        </w:rPr>
        <w:t xml:space="preserve"> Figure 1 depicts the </w:t>
      </w:r>
      <w:r>
        <w:rPr>
          <w:sz w:val="20"/>
          <w:szCs w:val="20"/>
        </w:rPr>
        <w:t>overall</w:t>
      </w:r>
      <w:r w:rsidRPr="00C70430">
        <w:rPr>
          <w:sz w:val="20"/>
          <w:szCs w:val="20"/>
        </w:rPr>
        <w:t xml:space="preserve"> reporting token incentive process.</w:t>
      </w:r>
    </w:p>
    <w:p w14:paraId="4939BBDC" w14:textId="77777777" w:rsidR="004452A0" w:rsidRPr="00C70430" w:rsidRDefault="004452A0" w:rsidP="004452A0">
      <w:pPr>
        <w:rPr>
          <w:sz w:val="20"/>
          <w:szCs w:val="20"/>
        </w:rPr>
      </w:pPr>
    </w:p>
    <w:p w14:paraId="46E8C7CE" w14:textId="77777777" w:rsidR="004452A0" w:rsidRPr="000E14FC" w:rsidRDefault="004452A0" w:rsidP="004452A0">
      <w:pPr>
        <w:adjustRightInd w:val="0"/>
        <w:snapToGrid w:val="0"/>
        <w:spacing w:after="0" w:line="240" w:lineRule="auto"/>
        <w:jc w:val="center"/>
        <w:rPr>
          <w:sz w:val="20"/>
          <w:szCs w:val="20"/>
        </w:rPr>
      </w:pPr>
      <w:r>
        <w:rPr>
          <w:noProof/>
          <w:sz w:val="20"/>
          <w:szCs w:val="20"/>
        </w:rPr>
        <w:drawing>
          <wp:inline distT="0" distB="0" distL="0" distR="0" wp14:anchorId="494F65E0" wp14:editId="06041A58">
            <wp:extent cx="4394835" cy="2061845"/>
            <wp:effectExtent l="0" t="0" r="0" b="0"/>
            <wp:docPr id="1" name="图片 8" descr="图示&#10;&#10;描述已自动生成"/>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8" descr="图示&#10;&#10;描述已自动生成"/>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835" cy="2061845"/>
                    </a:xfrm>
                    <a:prstGeom prst="rect">
                      <a:avLst/>
                    </a:prstGeom>
                    <a:noFill/>
                    <a:ln>
                      <a:noFill/>
                    </a:ln>
                  </pic:spPr>
                </pic:pic>
              </a:graphicData>
            </a:graphic>
          </wp:inline>
        </w:drawing>
      </w:r>
    </w:p>
    <w:p w14:paraId="6B45FE5A" w14:textId="77777777" w:rsidR="004452A0" w:rsidRDefault="004452A0" w:rsidP="004452A0">
      <w:pPr>
        <w:adjustRightInd w:val="0"/>
        <w:snapToGrid w:val="0"/>
        <w:spacing w:after="0" w:line="240" w:lineRule="auto"/>
        <w:jc w:val="center"/>
        <w:rPr>
          <w:sz w:val="20"/>
          <w:szCs w:val="20"/>
        </w:rPr>
      </w:pPr>
      <w:bookmarkStart w:id="33" w:name="_Hlk113525766"/>
      <w:r w:rsidRPr="000E14FC">
        <w:rPr>
          <w:rFonts w:hint="eastAsia"/>
          <w:sz w:val="20"/>
          <w:szCs w:val="20"/>
        </w:rPr>
        <w:t>F</w:t>
      </w:r>
      <w:r w:rsidRPr="000E14FC">
        <w:rPr>
          <w:sz w:val="20"/>
          <w:szCs w:val="20"/>
        </w:rPr>
        <w:t>igure 1</w:t>
      </w:r>
      <w:r>
        <w:rPr>
          <w:sz w:val="20"/>
          <w:szCs w:val="20"/>
        </w:rPr>
        <w:t>:</w:t>
      </w:r>
      <w:r w:rsidRPr="000E14FC">
        <w:rPr>
          <w:sz w:val="20"/>
          <w:szCs w:val="20"/>
        </w:rPr>
        <w:t xml:space="preserve"> Process of the reporting token incentive</w:t>
      </w:r>
      <w:bookmarkEnd w:id="33"/>
      <w:r>
        <w:rPr>
          <w:sz w:val="20"/>
          <w:szCs w:val="20"/>
        </w:rPr>
        <w:t>s</w:t>
      </w:r>
    </w:p>
    <w:p w14:paraId="773BBEB3" w14:textId="77777777" w:rsidR="004452A0" w:rsidRPr="000E14FC" w:rsidRDefault="004452A0" w:rsidP="004452A0">
      <w:pPr>
        <w:adjustRightInd w:val="0"/>
        <w:snapToGrid w:val="0"/>
        <w:spacing w:after="0" w:line="240" w:lineRule="auto"/>
        <w:jc w:val="center"/>
        <w:rPr>
          <w:sz w:val="20"/>
          <w:szCs w:val="20"/>
        </w:rPr>
      </w:pPr>
    </w:p>
    <w:p w14:paraId="4A0FCA8B" w14:textId="77777777" w:rsidR="004452A0" w:rsidRDefault="004452A0" w:rsidP="004452A0">
      <w:pPr>
        <w:adjustRightInd w:val="0"/>
        <w:snapToGrid w:val="0"/>
        <w:spacing w:after="0" w:line="240" w:lineRule="auto"/>
        <w:jc w:val="both"/>
        <w:rPr>
          <w:sz w:val="20"/>
          <w:szCs w:val="20"/>
        </w:rPr>
      </w:pPr>
      <w:r>
        <w:rPr>
          <w:sz w:val="20"/>
          <w:szCs w:val="20"/>
        </w:rPr>
        <w:t>After receiving a spam email, a user of the enterprise notifies the enterprise via the system. After</w:t>
      </w:r>
      <w:r w:rsidRPr="00C70430">
        <w:rPr>
          <w:sz w:val="20"/>
          <w:szCs w:val="20"/>
        </w:rPr>
        <w:t xml:space="preserve"> receiving the </w:t>
      </w:r>
      <w:r>
        <w:rPr>
          <w:sz w:val="20"/>
          <w:szCs w:val="20"/>
        </w:rPr>
        <w:t>report</w:t>
      </w:r>
      <w:r w:rsidRPr="00C70430">
        <w:rPr>
          <w:sz w:val="20"/>
          <w:szCs w:val="20"/>
        </w:rPr>
        <w:t>, the enterprise examines the content of the email, confirms that it does not include</w:t>
      </w:r>
      <w:r>
        <w:rPr>
          <w:sz w:val="20"/>
          <w:szCs w:val="20"/>
        </w:rPr>
        <w:t xml:space="preserve"> any</w:t>
      </w:r>
      <w:r w:rsidRPr="00C70430">
        <w:rPr>
          <w:sz w:val="20"/>
          <w:szCs w:val="20"/>
        </w:rPr>
        <w:t xml:space="preserve"> </w:t>
      </w:r>
      <w:r>
        <w:rPr>
          <w:sz w:val="20"/>
          <w:szCs w:val="20"/>
        </w:rPr>
        <w:t>confidential information</w:t>
      </w:r>
      <w:r w:rsidRPr="00C70430">
        <w:rPr>
          <w:sz w:val="20"/>
          <w:szCs w:val="20"/>
        </w:rPr>
        <w:t>, and uploads the email to the service provider's</w:t>
      </w:r>
      <w:r>
        <w:rPr>
          <w:sz w:val="20"/>
          <w:szCs w:val="20"/>
        </w:rPr>
        <w:t xml:space="preserve"> spam</w:t>
      </w:r>
      <w:r w:rsidRPr="00C70430">
        <w:rPr>
          <w:sz w:val="20"/>
          <w:szCs w:val="20"/>
        </w:rPr>
        <w:t xml:space="preserve"> database. After receiving the reported spam mail, the service provider </w:t>
      </w:r>
      <w:r>
        <w:rPr>
          <w:sz w:val="20"/>
          <w:szCs w:val="20"/>
        </w:rPr>
        <w:t xml:space="preserve">verifies it and </w:t>
      </w:r>
      <w:r w:rsidRPr="00C70430">
        <w:rPr>
          <w:sz w:val="20"/>
          <w:szCs w:val="20"/>
        </w:rPr>
        <w:t>adds it to the enterprise's personalized filtering database or general spam database, enables the mail filtering model to do incremental training, and issues reporting tokens to the users who reported th</w:t>
      </w:r>
      <w:r>
        <w:rPr>
          <w:sz w:val="20"/>
          <w:szCs w:val="20"/>
        </w:rPr>
        <w:t>is spam</w:t>
      </w:r>
      <w:r w:rsidRPr="00C70430">
        <w:rPr>
          <w:sz w:val="20"/>
          <w:szCs w:val="20"/>
        </w:rPr>
        <w:t>.</w:t>
      </w:r>
    </w:p>
    <w:p w14:paraId="5ADA1787" w14:textId="77777777" w:rsidR="004452A0" w:rsidRPr="00C70430" w:rsidRDefault="004452A0" w:rsidP="004452A0">
      <w:pPr>
        <w:adjustRightInd w:val="0"/>
        <w:snapToGrid w:val="0"/>
        <w:spacing w:after="0" w:line="240" w:lineRule="auto"/>
        <w:jc w:val="both"/>
        <w:rPr>
          <w:sz w:val="20"/>
          <w:szCs w:val="20"/>
        </w:rPr>
      </w:pPr>
    </w:p>
    <w:p w14:paraId="7BC5787F" w14:textId="7D4EC46A" w:rsidR="004452A0" w:rsidRDefault="004452A0" w:rsidP="004452A0">
      <w:pPr>
        <w:adjustRightInd w:val="0"/>
        <w:snapToGrid w:val="0"/>
        <w:spacing w:after="0" w:line="240" w:lineRule="auto"/>
        <w:jc w:val="both"/>
        <w:rPr>
          <w:sz w:val="20"/>
          <w:szCs w:val="20"/>
        </w:rPr>
      </w:pPr>
      <w:bookmarkStart w:id="34" w:name="OLE_LINK67"/>
      <w:bookmarkStart w:id="35" w:name="OLE_LINK65"/>
      <w:r>
        <w:rPr>
          <w:sz w:val="20"/>
          <w:szCs w:val="20"/>
        </w:rPr>
        <w:t xml:space="preserve">Since the service provider would be sensitive to the actual cost of issuing token incentives, it is better to make the </w:t>
      </w:r>
      <w:r w:rsidRPr="0061630E">
        <w:rPr>
          <w:sz w:val="20"/>
          <w:szCs w:val="20"/>
        </w:rPr>
        <w:t>cost predict</w:t>
      </w:r>
      <w:r>
        <w:rPr>
          <w:sz w:val="20"/>
          <w:szCs w:val="20"/>
        </w:rPr>
        <w:t>able</w:t>
      </w:r>
      <w:r w:rsidRPr="0061630E">
        <w:rPr>
          <w:sz w:val="20"/>
          <w:szCs w:val="20"/>
        </w:rPr>
        <w:t xml:space="preserve"> and control</w:t>
      </w:r>
      <w:r>
        <w:rPr>
          <w:sz w:val="20"/>
          <w:szCs w:val="20"/>
        </w:rPr>
        <w:t>lable</w:t>
      </w:r>
      <w:r w:rsidRPr="0061630E">
        <w:rPr>
          <w:sz w:val="20"/>
          <w:szCs w:val="20"/>
        </w:rPr>
        <w:t xml:space="preserve">. </w:t>
      </w:r>
      <w:r>
        <w:rPr>
          <w:sz w:val="20"/>
          <w:szCs w:val="20"/>
        </w:rPr>
        <w:t xml:space="preserve">Therefore, we refer to the token </w:t>
      </w:r>
      <w:r w:rsidRPr="0061630E">
        <w:rPr>
          <w:sz w:val="20"/>
          <w:szCs w:val="20"/>
        </w:rPr>
        <w:t>issuance rules</w:t>
      </w:r>
      <w:r>
        <w:rPr>
          <w:sz w:val="20"/>
          <w:szCs w:val="20"/>
        </w:rPr>
        <w:t xml:space="preserve"> used in the</w:t>
      </w:r>
      <w:r w:rsidRPr="0061630E">
        <w:rPr>
          <w:sz w:val="20"/>
          <w:szCs w:val="20"/>
        </w:rPr>
        <w:t xml:space="preserve"> online community Minds (minds.com</w:t>
      </w:r>
      <w:r w:rsidR="00A94022" w:rsidRPr="0061630E">
        <w:rPr>
          <w:sz w:val="20"/>
          <w:szCs w:val="20"/>
        </w:rPr>
        <w:t>) and</w:t>
      </w:r>
      <w:r>
        <w:rPr>
          <w:sz w:val="20"/>
          <w:szCs w:val="20"/>
        </w:rPr>
        <w:t xml:space="preserve"> adopt the model </w:t>
      </w:r>
      <w:r w:rsidRPr="0061630E">
        <w:rPr>
          <w:sz w:val="20"/>
          <w:szCs w:val="20"/>
        </w:rPr>
        <w:t>of fixed total amount and contribution weighting. Contribution weighting means that the</w:t>
      </w:r>
      <w:r>
        <w:rPr>
          <w:sz w:val="20"/>
          <w:szCs w:val="20"/>
        </w:rPr>
        <w:t xml:space="preserve"> tokens are awarded to a user</w:t>
      </w:r>
      <w:r w:rsidRPr="0061630E">
        <w:rPr>
          <w:sz w:val="20"/>
          <w:szCs w:val="20"/>
        </w:rPr>
        <w:t xml:space="preserve"> based on </w:t>
      </w:r>
      <w:r>
        <w:rPr>
          <w:rFonts w:eastAsiaTheme="minorEastAsia"/>
          <w:sz w:val="20"/>
          <w:szCs w:val="20"/>
          <w:lang w:eastAsia="zh-CN"/>
        </w:rPr>
        <w:t>the weight of his or her contribution</w:t>
      </w:r>
      <w:r>
        <w:rPr>
          <w:sz w:val="20"/>
          <w:szCs w:val="20"/>
        </w:rPr>
        <w:t>. The weight is calculated as</w:t>
      </w:r>
      <w:r w:rsidRPr="0061630E">
        <w:rPr>
          <w:sz w:val="20"/>
          <w:szCs w:val="20"/>
        </w:rPr>
        <w:t xml:space="preserve"> the ratio </w:t>
      </w:r>
      <w:r>
        <w:rPr>
          <w:sz w:val="20"/>
          <w:szCs w:val="20"/>
        </w:rPr>
        <w:t>between</w:t>
      </w:r>
      <w:r w:rsidRPr="0061630E">
        <w:rPr>
          <w:sz w:val="20"/>
          <w:szCs w:val="20"/>
        </w:rPr>
        <w:t xml:space="preserve"> the number of </w:t>
      </w:r>
      <w:r w:rsidR="00EB0367">
        <w:rPr>
          <w:sz w:val="20"/>
          <w:szCs w:val="20"/>
        </w:rPr>
        <w:t>spams</w:t>
      </w:r>
      <w:r w:rsidRPr="0061630E">
        <w:rPr>
          <w:sz w:val="20"/>
          <w:szCs w:val="20"/>
        </w:rPr>
        <w:t xml:space="preserve"> a user </w:t>
      </w:r>
      <w:r w:rsidR="005D626C">
        <w:rPr>
          <w:sz w:val="20"/>
          <w:szCs w:val="20"/>
        </w:rPr>
        <w:t>report</w:t>
      </w:r>
      <w:r w:rsidRPr="0061630E">
        <w:rPr>
          <w:sz w:val="20"/>
          <w:szCs w:val="20"/>
        </w:rPr>
        <w:t xml:space="preserve"> in each period</w:t>
      </w:r>
      <w:r>
        <w:rPr>
          <w:sz w:val="20"/>
          <w:szCs w:val="20"/>
        </w:rPr>
        <w:t>, and</w:t>
      </w:r>
      <w:r w:rsidRPr="0061630E">
        <w:rPr>
          <w:sz w:val="20"/>
          <w:szCs w:val="20"/>
        </w:rPr>
        <w:t xml:space="preserve"> the total number of</w:t>
      </w:r>
      <w:r>
        <w:rPr>
          <w:sz w:val="20"/>
          <w:szCs w:val="20"/>
        </w:rPr>
        <w:t xml:space="preserve"> </w:t>
      </w:r>
      <w:r w:rsidR="005D626C">
        <w:rPr>
          <w:sz w:val="20"/>
          <w:szCs w:val="20"/>
        </w:rPr>
        <w:t>spams</w:t>
      </w:r>
      <w:r>
        <w:rPr>
          <w:sz w:val="20"/>
          <w:szCs w:val="20"/>
        </w:rPr>
        <w:t xml:space="preserve"> </w:t>
      </w:r>
      <w:r w:rsidR="005D626C">
        <w:rPr>
          <w:sz w:val="20"/>
          <w:szCs w:val="20"/>
        </w:rPr>
        <w:t>reported</w:t>
      </w:r>
      <w:r>
        <w:rPr>
          <w:sz w:val="20"/>
          <w:szCs w:val="20"/>
        </w:rPr>
        <w:t xml:space="preserve"> in the whole system</w:t>
      </w:r>
      <w:r w:rsidRPr="0061630E">
        <w:rPr>
          <w:sz w:val="20"/>
          <w:szCs w:val="20"/>
        </w:rPr>
        <w:t xml:space="preserve"> in that period. Fixed amount means that service providers provide a fixed number of tokens to </w:t>
      </w:r>
      <w:r>
        <w:rPr>
          <w:sz w:val="20"/>
          <w:szCs w:val="20"/>
        </w:rPr>
        <w:t>award</w:t>
      </w:r>
      <w:r w:rsidRPr="0061630E">
        <w:rPr>
          <w:sz w:val="20"/>
          <w:szCs w:val="20"/>
        </w:rPr>
        <w:t xml:space="preserve"> users in </w:t>
      </w:r>
      <w:r>
        <w:rPr>
          <w:sz w:val="20"/>
          <w:szCs w:val="20"/>
        </w:rPr>
        <w:t>a certain</w:t>
      </w:r>
      <w:r w:rsidRPr="0061630E">
        <w:rPr>
          <w:sz w:val="20"/>
          <w:szCs w:val="20"/>
        </w:rPr>
        <w:t xml:space="preserve"> period. As a result, in a system with </w:t>
      </w:r>
      <m:oMath>
        <m:r>
          <w:rPr>
            <w:rFonts w:ascii="Cambria Math" w:hAnsi="Cambria Math"/>
            <w:sz w:val="20"/>
            <w:szCs w:val="20"/>
          </w:rPr>
          <m:t>j</m:t>
        </m:r>
      </m:oMath>
      <w:r w:rsidRPr="0061630E">
        <w:rPr>
          <w:sz w:val="20"/>
          <w:szCs w:val="20"/>
        </w:rPr>
        <w:t xml:space="preserve"> users, the </w:t>
      </w:r>
      <m:oMath>
        <m:r>
          <w:rPr>
            <w:rFonts w:ascii="Cambria Math" w:hAnsi="Cambria Math"/>
            <w:sz w:val="20"/>
            <w:szCs w:val="20"/>
          </w:rPr>
          <m:t>k</m:t>
        </m:r>
      </m:oMath>
      <w:r w:rsidRPr="0061630E">
        <w:rPr>
          <w:sz w:val="20"/>
          <w:szCs w:val="20"/>
        </w:rPr>
        <w:t xml:space="preserve">th user </w:t>
      </w:r>
      <m:oMath>
        <m:d>
          <m:dPr>
            <m:ctrlPr>
              <w:rPr>
                <w:rFonts w:ascii="Cambria Math" w:hAnsi="Cambria Math"/>
                <w:sz w:val="20"/>
                <w:szCs w:val="20"/>
              </w:rPr>
            </m:ctrlPr>
          </m:dPr>
          <m:e>
            <m:r>
              <w:rPr>
                <w:rFonts w:ascii="Cambria Math" w:hAnsi="Cambria Math"/>
                <w:sz w:val="20"/>
                <w:szCs w:val="20"/>
              </w:rPr>
              <m:t>k</m:t>
            </m:r>
            <m:r>
              <m:rPr>
                <m:sty m:val="p"/>
              </m:rPr>
              <w:rPr>
                <w:rFonts w:ascii="Cambria Math" w:hAnsi="Cambria Math"/>
                <w:sz w:val="20"/>
                <w:szCs w:val="20"/>
              </w:rPr>
              <m:t>&lt;</m:t>
            </m:r>
            <m:r>
              <w:rPr>
                <w:rFonts w:ascii="Cambria Math" w:hAnsi="Cambria Math"/>
                <w:sz w:val="20"/>
                <w:szCs w:val="20"/>
              </w:rPr>
              <m:t>j</m:t>
            </m:r>
          </m:e>
        </m:d>
      </m:oMath>
      <w:r w:rsidRPr="0061630E">
        <w:rPr>
          <w:sz w:val="20"/>
          <w:szCs w:val="20"/>
        </w:rPr>
        <w:t xml:space="preserve"> receives</w:t>
      </w:r>
      <w:r w:rsidRPr="00510B3C">
        <w:rPr>
          <w:rFonts w:ascii="Cambria Math" w:hAnsi="Cambria Math"/>
          <w:i/>
          <w:sz w:val="20"/>
          <w:szCs w:val="20"/>
        </w:rPr>
        <w:t xml:space="preserve"> </w:t>
      </w:r>
      <m:oMath>
        <m:r>
          <w:rPr>
            <w:rFonts w:ascii="Cambria Math" w:hAnsi="Cambria Math"/>
            <w:sz w:val="20"/>
            <w:szCs w:val="20"/>
          </w:rPr>
          <m:t>E</m:t>
        </m:r>
      </m:oMath>
      <w:r w:rsidRPr="0061630E">
        <w:rPr>
          <w:sz w:val="20"/>
          <w:szCs w:val="20"/>
        </w:rPr>
        <w:t xml:space="preserve"> token</w:t>
      </w:r>
      <w:r>
        <w:rPr>
          <w:sz w:val="20"/>
          <w:szCs w:val="20"/>
        </w:rPr>
        <w:t>s</w:t>
      </w:r>
      <w:r w:rsidRPr="0061630E">
        <w:rPr>
          <w:sz w:val="20"/>
          <w:szCs w:val="20"/>
        </w:rPr>
        <w:t xml:space="preserve"> in </w:t>
      </w:r>
      <w:r>
        <w:rPr>
          <w:sz w:val="20"/>
          <w:szCs w:val="20"/>
        </w:rPr>
        <w:t>a</w:t>
      </w:r>
      <w:r w:rsidRPr="0061630E">
        <w:rPr>
          <w:sz w:val="20"/>
          <w:szCs w:val="20"/>
        </w:rPr>
        <w:t xml:space="preserve"> period, as shown in Equation 1, where </w:t>
      </w:r>
      <m:oMath>
        <m:r>
          <w:rPr>
            <w:rFonts w:ascii="Cambria Math" w:hAnsi="Cambria Math"/>
            <w:sz w:val="20"/>
            <w:szCs w:val="20"/>
          </w:rPr>
          <m:t>N</m:t>
        </m:r>
      </m:oMath>
      <w:r w:rsidRPr="0061630E">
        <w:rPr>
          <w:sz w:val="20"/>
          <w:szCs w:val="20"/>
        </w:rPr>
        <w:t xml:space="preserve"> is the</w:t>
      </w:r>
      <w:r>
        <w:rPr>
          <w:sz w:val="20"/>
          <w:szCs w:val="20"/>
        </w:rPr>
        <w:t xml:space="preserve"> total</w:t>
      </w:r>
      <w:r w:rsidRPr="0061630E">
        <w:rPr>
          <w:sz w:val="20"/>
          <w:szCs w:val="20"/>
        </w:rPr>
        <w:t xml:space="preserve"> number of tokens </w:t>
      </w:r>
      <w:r>
        <w:rPr>
          <w:sz w:val="20"/>
          <w:szCs w:val="20"/>
        </w:rPr>
        <w:t>awarded</w:t>
      </w:r>
      <w:r w:rsidRPr="0061630E">
        <w:rPr>
          <w:sz w:val="20"/>
          <w:szCs w:val="20"/>
        </w:rPr>
        <w:t xml:space="preserve"> by the service provider in</w:t>
      </w:r>
      <w:r>
        <w:rPr>
          <w:sz w:val="20"/>
          <w:szCs w:val="20"/>
        </w:rPr>
        <w:t xml:space="preserve"> a</w:t>
      </w:r>
      <w:r w:rsidRPr="0061630E">
        <w:rPr>
          <w:sz w:val="20"/>
          <w:szCs w:val="20"/>
        </w:rPr>
        <w:t xml:space="preserve"> period, </w:t>
      </w:r>
      <w:bookmarkStart w:id="36" w:name="OLE_LINK26"/>
      <m:oMath>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k</m:t>
            </m:r>
          </m:sub>
        </m:sSub>
      </m:oMath>
      <w:bookmarkEnd w:id="36"/>
      <w:r w:rsidRPr="0061630E">
        <w:rPr>
          <w:sz w:val="20"/>
          <w:szCs w:val="20"/>
        </w:rPr>
        <w:t xml:space="preserve"> and </w:t>
      </w:r>
      <m:oMath>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i</m:t>
            </m:r>
          </m:sub>
        </m:sSub>
      </m:oMath>
      <w:r w:rsidRPr="0061630E">
        <w:rPr>
          <w:sz w:val="20"/>
          <w:szCs w:val="20"/>
        </w:rPr>
        <w:t xml:space="preserve"> are the number of </w:t>
      </w:r>
      <w:r>
        <w:rPr>
          <w:sz w:val="20"/>
          <w:szCs w:val="20"/>
        </w:rPr>
        <w:t>spam</w:t>
      </w:r>
      <w:r w:rsidR="00A94022">
        <w:rPr>
          <w:sz w:val="20"/>
          <w:szCs w:val="20"/>
        </w:rPr>
        <w:t>s</w:t>
      </w:r>
      <w:r w:rsidRPr="0061630E">
        <w:rPr>
          <w:sz w:val="20"/>
          <w:szCs w:val="20"/>
        </w:rPr>
        <w:t xml:space="preserve"> reported by the </w:t>
      </w:r>
      <m:oMath>
        <m:r>
          <w:rPr>
            <w:rFonts w:ascii="Cambria Math" w:hAnsi="Cambria Math"/>
            <w:sz w:val="20"/>
            <w:szCs w:val="20"/>
          </w:rPr>
          <m:t>k</m:t>
        </m:r>
      </m:oMath>
      <w:r w:rsidRPr="0061630E">
        <w:rPr>
          <w:rFonts w:hint="eastAsia"/>
          <w:sz w:val="20"/>
          <w:szCs w:val="20"/>
        </w:rPr>
        <w:t>t</w:t>
      </w:r>
      <w:r w:rsidRPr="0061630E">
        <w:rPr>
          <w:sz w:val="20"/>
          <w:szCs w:val="20"/>
        </w:rPr>
        <w:t xml:space="preserve">h and </w:t>
      </w:r>
      <m:oMath>
        <m:r>
          <w:rPr>
            <w:rFonts w:ascii="Cambria Math" w:hAnsi="Cambria Math"/>
            <w:sz w:val="20"/>
            <w:szCs w:val="20"/>
          </w:rPr>
          <m:t>i</m:t>
        </m:r>
      </m:oMath>
      <w:r w:rsidRPr="0061630E">
        <w:rPr>
          <w:sz w:val="20"/>
          <w:szCs w:val="20"/>
        </w:rPr>
        <w:t>th users, respectively, in this period.</w:t>
      </w:r>
    </w:p>
    <w:p w14:paraId="61AC93E6" w14:textId="77777777" w:rsidR="004452A0" w:rsidRPr="0061630E" w:rsidRDefault="004452A0" w:rsidP="004452A0">
      <w:pPr>
        <w:adjustRightInd w:val="0"/>
        <w:snapToGrid w:val="0"/>
        <w:spacing w:after="0" w:line="240" w:lineRule="auto"/>
        <w:jc w:val="both"/>
        <w:rPr>
          <w:sz w:val="20"/>
          <w:szCs w:val="20"/>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
        <w:gridCol w:w="8595"/>
        <w:gridCol w:w="913"/>
      </w:tblGrid>
      <w:tr w:rsidR="004452A0" w:rsidRPr="0061630E" w14:paraId="6826DFAC" w14:textId="77777777" w:rsidTr="00F14C04">
        <w:trPr>
          <w:jc w:val="center"/>
        </w:trPr>
        <w:tc>
          <w:tcPr>
            <w:tcW w:w="709" w:type="dxa"/>
            <w:vAlign w:val="center"/>
          </w:tcPr>
          <w:p w14:paraId="34B2D0D2" w14:textId="77777777" w:rsidR="004452A0" w:rsidRPr="0061630E" w:rsidRDefault="004452A0" w:rsidP="00F14C04">
            <w:pPr>
              <w:adjustRightInd w:val="0"/>
              <w:snapToGrid w:val="0"/>
              <w:spacing w:after="0" w:line="240" w:lineRule="auto"/>
              <w:jc w:val="both"/>
              <w:rPr>
                <w:sz w:val="20"/>
                <w:szCs w:val="20"/>
              </w:rPr>
            </w:pPr>
            <w:bookmarkStart w:id="37" w:name="_Hlk113620766"/>
          </w:p>
        </w:tc>
        <w:tc>
          <w:tcPr>
            <w:tcW w:w="8789" w:type="dxa"/>
            <w:vAlign w:val="center"/>
          </w:tcPr>
          <w:p w14:paraId="4B01E234" w14:textId="77777777" w:rsidR="004452A0" w:rsidRPr="0061630E" w:rsidRDefault="004452A0" w:rsidP="00F14C04">
            <w:pPr>
              <w:adjustRightInd w:val="0"/>
              <w:snapToGrid w:val="0"/>
              <w:spacing w:after="0" w:line="240" w:lineRule="auto"/>
              <w:jc w:val="both"/>
              <w:rPr>
                <w:sz w:val="20"/>
                <w:szCs w:val="20"/>
              </w:rPr>
            </w:pPr>
            <w:bookmarkStart w:id="38" w:name="OLE_LINK620"/>
            <m:oMathPara>
              <m:oMath>
                <m:r>
                  <w:rPr>
                    <w:rFonts w:ascii="Cambria Math" w:hAnsi="Cambria Math" w:hint="eastAsia"/>
                    <w:sz w:val="20"/>
                    <w:szCs w:val="20"/>
                  </w:rPr>
                  <m:t>E</m:t>
                </m:r>
                <m:r>
                  <m:rPr>
                    <m:sty m:val="p"/>
                  </m:rPr>
                  <w:rPr>
                    <w:rFonts w:ascii="Cambria Math" w:hAnsi="Cambria Math"/>
                    <w:sz w:val="20"/>
                    <w:szCs w:val="20"/>
                  </w:rPr>
                  <m:t xml:space="preserve"> = </m:t>
                </m:r>
                <m:r>
                  <w:rPr>
                    <w:rFonts w:ascii="Cambria Math" w:hAnsi="Cambria Math"/>
                    <w:sz w:val="20"/>
                    <w:szCs w:val="20"/>
                  </w:rPr>
                  <m:t>N</m:t>
                </m:r>
                <m:r>
                  <m:rPr>
                    <m:sty m:val="p"/>
                  </m:rPr>
                  <w:rPr>
                    <w:rFonts w:ascii="Cambria Math" w:hAnsi="Cambria Math"/>
                    <w:sz w:val="20"/>
                    <w:szCs w:val="20"/>
                  </w:rPr>
                  <m:t xml:space="preserve"> × </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k</m:t>
                        </m:r>
                      </m:sub>
                    </m:sSub>
                  </m:num>
                  <m:den>
                    <m:nary>
                      <m:naryPr>
                        <m:chr m:val="∑"/>
                        <m:limLoc m:val="undOvr"/>
                        <m:ctrlPr>
                          <w:rPr>
                            <w:rFonts w:ascii="Cambria Math" w:hAnsi="Cambria Math"/>
                            <w:sz w:val="20"/>
                            <w:szCs w:val="20"/>
                          </w:rPr>
                        </m:ctrlPr>
                      </m:naryPr>
                      <m:sub>
                        <m:r>
                          <w:rPr>
                            <w:rFonts w:ascii="Cambria Math" w:hAnsi="Cambria Math" w:hint="eastAsia"/>
                            <w:sz w:val="20"/>
                            <w:szCs w:val="20"/>
                          </w:rPr>
                          <m:t>i</m:t>
                        </m:r>
                        <m:r>
                          <m:rPr>
                            <m:sty m:val="p"/>
                          </m:rPr>
                          <w:rPr>
                            <w:rFonts w:ascii="Cambria Math" w:hAnsi="Cambria Math"/>
                            <w:sz w:val="20"/>
                            <w:szCs w:val="20"/>
                          </w:rPr>
                          <m:t xml:space="preserve"> = 1</m:t>
                        </m:r>
                      </m:sub>
                      <m:sup>
                        <m:r>
                          <w:rPr>
                            <w:rFonts w:ascii="Cambria Math" w:hAnsi="Cambria Math"/>
                            <w:sz w:val="20"/>
                            <w:szCs w:val="20"/>
                          </w:rPr>
                          <m:t>j</m:t>
                        </m:r>
                      </m:sup>
                      <m:e>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i</m:t>
                            </m:r>
                          </m:sub>
                        </m:sSub>
                      </m:e>
                    </m:nary>
                  </m:den>
                </m:f>
              </m:oMath>
            </m:oMathPara>
            <w:bookmarkEnd w:id="38"/>
          </w:p>
        </w:tc>
        <w:tc>
          <w:tcPr>
            <w:tcW w:w="925" w:type="dxa"/>
            <w:vAlign w:val="center"/>
          </w:tcPr>
          <w:p w14:paraId="224FBD88" w14:textId="77777777" w:rsidR="004452A0" w:rsidRPr="0061630E" w:rsidRDefault="004452A0" w:rsidP="00F14C04">
            <w:pPr>
              <w:adjustRightInd w:val="0"/>
              <w:snapToGrid w:val="0"/>
              <w:spacing w:after="0" w:line="240" w:lineRule="auto"/>
              <w:jc w:val="both"/>
              <w:rPr>
                <w:sz w:val="20"/>
                <w:szCs w:val="20"/>
              </w:rPr>
            </w:pPr>
            <w:r w:rsidRPr="0061630E">
              <w:rPr>
                <w:sz w:val="20"/>
                <w:szCs w:val="20"/>
              </w:rPr>
              <w:t>(1)</w:t>
            </w:r>
          </w:p>
        </w:tc>
      </w:tr>
      <w:bookmarkEnd w:id="37"/>
    </w:tbl>
    <w:p w14:paraId="365FBE73" w14:textId="77777777" w:rsidR="004452A0" w:rsidRDefault="004452A0" w:rsidP="004452A0">
      <w:pPr>
        <w:adjustRightInd w:val="0"/>
        <w:snapToGrid w:val="0"/>
        <w:spacing w:after="0" w:line="240" w:lineRule="auto"/>
        <w:jc w:val="both"/>
        <w:rPr>
          <w:sz w:val="20"/>
          <w:szCs w:val="20"/>
        </w:rPr>
      </w:pPr>
    </w:p>
    <w:p w14:paraId="121A0A03" w14:textId="77777777" w:rsidR="004452A0" w:rsidRPr="00DA33CE" w:rsidRDefault="004452A0" w:rsidP="004452A0">
      <w:pPr>
        <w:adjustRightInd w:val="0"/>
        <w:snapToGrid w:val="0"/>
        <w:spacing w:after="0" w:line="240" w:lineRule="auto"/>
        <w:jc w:val="both"/>
        <w:rPr>
          <w:sz w:val="20"/>
          <w:szCs w:val="20"/>
        </w:rPr>
      </w:pPr>
      <w:bookmarkStart w:id="39" w:name="OLE_LINK1"/>
      <w:bookmarkStart w:id="40" w:name="OLE_LINK8"/>
      <w:r>
        <w:rPr>
          <w:rFonts w:hint="eastAsia"/>
          <w:sz w:val="20"/>
          <w:szCs w:val="20"/>
          <w:lang w:eastAsia="zh-CN"/>
        </w:rPr>
        <w:t>With</w:t>
      </w:r>
      <w:r>
        <w:rPr>
          <w:sz w:val="20"/>
          <w:szCs w:val="20"/>
          <w:lang w:eastAsia="zh-CN"/>
        </w:rPr>
        <w:t xml:space="preserve"> the help of the decentralized ledger of blockchain, we believe both the users and the enterprises are not able to obtain token incentives through any </w:t>
      </w:r>
      <w:bookmarkStart w:id="41" w:name="OLE_LINK2"/>
      <w:r>
        <w:rPr>
          <w:rFonts w:hint="eastAsia"/>
          <w:sz w:val="20"/>
          <w:szCs w:val="20"/>
          <w:lang w:eastAsia="zh-CN"/>
        </w:rPr>
        <w:t>malicious</w:t>
      </w:r>
      <w:r>
        <w:rPr>
          <w:sz w:val="20"/>
          <w:szCs w:val="20"/>
          <w:lang w:eastAsia="zh-CN"/>
        </w:rPr>
        <w:t xml:space="preserve"> </w:t>
      </w:r>
      <w:r>
        <w:rPr>
          <w:rFonts w:hint="eastAsia"/>
          <w:sz w:val="20"/>
          <w:szCs w:val="20"/>
          <w:lang w:eastAsia="zh-CN"/>
        </w:rPr>
        <w:t>be</w:t>
      </w:r>
      <w:r>
        <w:rPr>
          <w:sz w:val="20"/>
          <w:szCs w:val="20"/>
          <w:lang w:eastAsia="zh-CN"/>
        </w:rPr>
        <w:t>havior</w:t>
      </w:r>
      <w:bookmarkEnd w:id="41"/>
      <w:r>
        <w:rPr>
          <w:sz w:val="20"/>
          <w:szCs w:val="20"/>
          <w:lang w:eastAsia="zh-CN"/>
        </w:rPr>
        <w:t xml:space="preserve">, and that all the token rewards will be distributed fairly and objectively to the contributors. </w:t>
      </w:r>
      <w:bookmarkEnd w:id="39"/>
      <w:r>
        <w:rPr>
          <w:sz w:val="20"/>
          <w:szCs w:val="20"/>
        </w:rPr>
        <w:t xml:space="preserve">One reason is because all the incentive-related processes are transparent to all the participants in the email system. Any </w:t>
      </w:r>
      <w:bookmarkStart w:id="42" w:name="OLE_LINK5"/>
      <w:r>
        <w:rPr>
          <w:rFonts w:hint="eastAsia"/>
          <w:sz w:val="20"/>
          <w:szCs w:val="20"/>
          <w:lang w:eastAsia="zh-CN"/>
        </w:rPr>
        <w:t>malicious</w:t>
      </w:r>
      <w:r>
        <w:rPr>
          <w:sz w:val="20"/>
          <w:szCs w:val="20"/>
          <w:lang w:eastAsia="zh-CN"/>
        </w:rPr>
        <w:t xml:space="preserve"> </w:t>
      </w:r>
      <w:bookmarkEnd w:id="42"/>
      <w:r>
        <w:rPr>
          <w:rFonts w:hint="eastAsia"/>
          <w:sz w:val="20"/>
          <w:szCs w:val="20"/>
          <w:lang w:eastAsia="zh-CN"/>
        </w:rPr>
        <w:t>be</w:t>
      </w:r>
      <w:r>
        <w:rPr>
          <w:sz w:val="20"/>
          <w:szCs w:val="20"/>
          <w:lang w:eastAsia="zh-CN"/>
        </w:rPr>
        <w:t>havior</w:t>
      </w:r>
      <w:r w:rsidRPr="00DA33CE" w:rsidDel="00DF48CB">
        <w:rPr>
          <w:sz w:val="20"/>
          <w:szCs w:val="20"/>
        </w:rPr>
        <w:t xml:space="preserve"> </w:t>
      </w:r>
      <w:r>
        <w:rPr>
          <w:sz w:val="20"/>
          <w:szCs w:val="20"/>
        </w:rPr>
        <w:t xml:space="preserve">can be easily </w:t>
      </w:r>
      <w:bookmarkStart w:id="43" w:name="OLE_LINK3"/>
      <w:r>
        <w:rPr>
          <w:sz w:val="20"/>
          <w:szCs w:val="20"/>
        </w:rPr>
        <w:t xml:space="preserve">traced </w:t>
      </w:r>
      <w:bookmarkEnd w:id="43"/>
      <w:r>
        <w:rPr>
          <w:sz w:val="20"/>
          <w:szCs w:val="20"/>
        </w:rPr>
        <w:t xml:space="preserve">by other participants via the blockchain ledger. A further reason is that the block data is </w:t>
      </w:r>
      <w:bookmarkStart w:id="44" w:name="OLE_LINK4"/>
      <w:r>
        <w:rPr>
          <w:sz w:val="20"/>
          <w:szCs w:val="20"/>
        </w:rPr>
        <w:t xml:space="preserve">immutable </w:t>
      </w:r>
      <w:bookmarkEnd w:id="44"/>
      <w:r>
        <w:rPr>
          <w:sz w:val="20"/>
          <w:szCs w:val="20"/>
        </w:rPr>
        <w:t xml:space="preserve">for every single participant, making any </w:t>
      </w:r>
      <w:r>
        <w:rPr>
          <w:rFonts w:hint="eastAsia"/>
          <w:sz w:val="20"/>
          <w:szCs w:val="20"/>
          <w:lang w:eastAsia="zh-CN"/>
        </w:rPr>
        <w:t>malicious</w:t>
      </w:r>
      <w:r>
        <w:rPr>
          <w:sz w:val="20"/>
          <w:szCs w:val="20"/>
          <w:lang w:eastAsia="zh-CN"/>
        </w:rPr>
        <w:t xml:space="preserve"> backend operations impossible, </w:t>
      </w:r>
      <w:r>
        <w:rPr>
          <w:rFonts w:hint="eastAsia"/>
          <w:sz w:val="20"/>
          <w:szCs w:val="20"/>
          <w:lang w:eastAsia="zh-CN"/>
        </w:rPr>
        <w:t>and</w:t>
      </w:r>
      <w:r>
        <w:rPr>
          <w:sz w:val="20"/>
          <w:szCs w:val="20"/>
          <w:lang w:eastAsia="zh-CN"/>
        </w:rPr>
        <w:t xml:space="preserve"> therefore, eliminating the trust concerns among different participants. The final reason is </w:t>
      </w:r>
      <w:r>
        <w:rPr>
          <w:rFonts w:hint="eastAsia"/>
          <w:sz w:val="20"/>
          <w:szCs w:val="20"/>
          <w:lang w:eastAsia="zh-CN"/>
        </w:rPr>
        <w:t>that</w:t>
      </w:r>
      <w:r>
        <w:rPr>
          <w:sz w:val="20"/>
          <w:szCs w:val="20"/>
          <w:lang w:eastAsia="zh-CN"/>
        </w:rPr>
        <w:t xml:space="preserve">, </w:t>
      </w:r>
      <w:r>
        <w:rPr>
          <w:rFonts w:hint="eastAsia"/>
          <w:sz w:val="20"/>
          <w:szCs w:val="20"/>
          <w:lang w:eastAsia="zh-CN"/>
        </w:rPr>
        <w:t>f</w:t>
      </w:r>
      <w:r>
        <w:rPr>
          <w:sz w:val="20"/>
          <w:szCs w:val="20"/>
          <w:lang w:eastAsia="zh-CN"/>
        </w:rPr>
        <w:t xml:space="preserve">ollowing consensus among the participants, </w:t>
      </w:r>
      <w:r>
        <w:rPr>
          <w:rFonts w:hint="eastAsia"/>
          <w:sz w:val="20"/>
          <w:szCs w:val="20"/>
          <w:lang w:eastAsia="zh-CN"/>
        </w:rPr>
        <w:t>all</w:t>
      </w:r>
      <w:r>
        <w:rPr>
          <w:sz w:val="20"/>
          <w:szCs w:val="20"/>
          <w:lang w:eastAsia="zh-CN"/>
        </w:rPr>
        <w:t xml:space="preserve"> </w:t>
      </w:r>
      <w:r>
        <w:rPr>
          <w:rFonts w:hint="eastAsia"/>
          <w:sz w:val="20"/>
          <w:szCs w:val="20"/>
          <w:lang w:eastAsia="zh-CN"/>
        </w:rPr>
        <w:t>incentive</w:t>
      </w:r>
      <w:r>
        <w:rPr>
          <w:sz w:val="20"/>
          <w:szCs w:val="20"/>
          <w:lang w:eastAsia="zh-CN"/>
        </w:rPr>
        <w:t xml:space="preserve"> </w:t>
      </w:r>
      <w:r>
        <w:rPr>
          <w:rFonts w:hint="eastAsia"/>
          <w:sz w:val="20"/>
          <w:szCs w:val="20"/>
          <w:lang w:eastAsia="zh-CN"/>
        </w:rPr>
        <w:t>rules</w:t>
      </w:r>
      <w:r>
        <w:rPr>
          <w:sz w:val="20"/>
          <w:szCs w:val="20"/>
          <w:lang w:eastAsia="zh-CN"/>
        </w:rPr>
        <w:t xml:space="preserve"> are codified</w:t>
      </w:r>
      <w:r w:rsidRPr="00943179" w:rsidDel="00DF48CB">
        <w:rPr>
          <w:rFonts w:hint="eastAsia"/>
          <w:sz w:val="20"/>
          <w:szCs w:val="20"/>
          <w:lang w:eastAsia="zh-CN"/>
        </w:rPr>
        <w:t xml:space="preserve"> </w:t>
      </w:r>
      <w:r>
        <w:rPr>
          <w:rFonts w:hint="eastAsia"/>
          <w:sz w:val="20"/>
          <w:szCs w:val="20"/>
          <w:lang w:eastAsia="zh-CN"/>
        </w:rPr>
        <w:t>on</w:t>
      </w:r>
      <w:r>
        <w:rPr>
          <w:sz w:val="20"/>
          <w:szCs w:val="20"/>
          <w:lang w:eastAsia="zh-CN"/>
        </w:rPr>
        <w:t xml:space="preserve"> smart contracts that automatically distribute token rewards. </w:t>
      </w:r>
      <w:bookmarkEnd w:id="40"/>
      <w:r w:rsidRPr="00662119">
        <w:rPr>
          <w:sz w:val="20"/>
          <w:szCs w:val="20"/>
          <w:lang w:eastAsia="zh-CN"/>
        </w:rPr>
        <w:t>The immutability and self-execution of smart contracts ensure the objectivity and fairness of token reward distribution.</w:t>
      </w:r>
    </w:p>
    <w:bookmarkEnd w:id="34"/>
    <w:p w14:paraId="0BFECC77" w14:textId="77777777" w:rsidR="004452A0" w:rsidRPr="00662119" w:rsidRDefault="004452A0" w:rsidP="004452A0">
      <w:pPr>
        <w:adjustRightInd w:val="0"/>
        <w:snapToGrid w:val="0"/>
        <w:spacing w:after="0" w:line="240" w:lineRule="auto"/>
        <w:jc w:val="both"/>
        <w:rPr>
          <w:sz w:val="20"/>
          <w:szCs w:val="20"/>
        </w:rPr>
      </w:pPr>
    </w:p>
    <w:p w14:paraId="48F6AD9F" w14:textId="2E2CF7BD" w:rsidR="004452A0" w:rsidRPr="00C70430" w:rsidRDefault="004452A0" w:rsidP="004452A0">
      <w:pPr>
        <w:adjustRightInd w:val="0"/>
        <w:snapToGrid w:val="0"/>
        <w:spacing w:after="0" w:line="240" w:lineRule="auto"/>
        <w:jc w:val="both"/>
        <w:rPr>
          <w:sz w:val="20"/>
          <w:szCs w:val="20"/>
        </w:rPr>
      </w:pPr>
      <w:bookmarkStart w:id="45" w:name="OLE_LINK10"/>
      <w:bookmarkStart w:id="46" w:name="_Hlk113517608"/>
      <w:bookmarkEnd w:id="35"/>
      <w:r w:rsidRPr="00C70430">
        <w:rPr>
          <w:sz w:val="20"/>
          <w:szCs w:val="20"/>
        </w:rPr>
        <w:t>To sum up, in the whole incentive mechanism, </w:t>
      </w:r>
      <w:r>
        <w:rPr>
          <w:sz w:val="20"/>
          <w:szCs w:val="20"/>
        </w:rPr>
        <w:t>u</w:t>
      </w:r>
      <w:r w:rsidRPr="00C70430">
        <w:rPr>
          <w:sz w:val="20"/>
          <w:szCs w:val="20"/>
        </w:rPr>
        <w:t xml:space="preserve">sers contribute </w:t>
      </w:r>
      <w:r>
        <w:rPr>
          <w:sz w:val="20"/>
          <w:szCs w:val="20"/>
        </w:rPr>
        <w:t xml:space="preserve">by </w:t>
      </w:r>
      <w:r w:rsidRPr="00C70430">
        <w:rPr>
          <w:sz w:val="20"/>
          <w:szCs w:val="20"/>
        </w:rPr>
        <w:t>reporting spam and receive the reporting token</w:t>
      </w:r>
      <w:r>
        <w:rPr>
          <w:sz w:val="20"/>
          <w:szCs w:val="20"/>
        </w:rPr>
        <w:t>s</w:t>
      </w:r>
      <w:r w:rsidRPr="00C70430">
        <w:rPr>
          <w:sz w:val="20"/>
          <w:szCs w:val="20"/>
        </w:rPr>
        <w:t xml:space="preserve"> as the work certificate. </w:t>
      </w:r>
      <w:r w:rsidRPr="002039C2">
        <w:rPr>
          <w:sz w:val="20"/>
          <w:szCs w:val="20"/>
        </w:rPr>
        <w:t xml:space="preserve">Enterprises and users benefit from a more effective and individualized spam filtering </w:t>
      </w:r>
      <w:proofErr w:type="gramStart"/>
      <w:r w:rsidRPr="002039C2">
        <w:rPr>
          <w:sz w:val="20"/>
          <w:szCs w:val="20"/>
        </w:rPr>
        <w:t>service</w:t>
      </w:r>
      <w:bookmarkStart w:id="47" w:name="OLE_LINK7"/>
      <w:r w:rsidR="004B3B60">
        <w:rPr>
          <w:sz w:val="20"/>
          <w:szCs w:val="20"/>
        </w:rPr>
        <w:t>, and</w:t>
      </w:r>
      <w:proofErr w:type="gramEnd"/>
      <w:r w:rsidR="004B3B60">
        <w:rPr>
          <w:sz w:val="20"/>
          <w:szCs w:val="20"/>
        </w:rPr>
        <w:t xml:space="preserve"> </w:t>
      </w:r>
      <w:r w:rsidRPr="00C70430">
        <w:rPr>
          <w:sz w:val="20"/>
          <w:szCs w:val="20"/>
        </w:rPr>
        <w:t>obtain better mail filtering performance through the continuous training of personalized filtering algorithms</w:t>
      </w:r>
      <w:bookmarkEnd w:id="47"/>
      <w:r w:rsidRPr="00C70430">
        <w:rPr>
          <w:sz w:val="20"/>
          <w:szCs w:val="20"/>
        </w:rPr>
        <w:t xml:space="preserve">.  Mail service providers pay the token to obtain </w:t>
      </w:r>
      <w:r>
        <w:rPr>
          <w:sz w:val="20"/>
          <w:szCs w:val="20"/>
        </w:rPr>
        <w:t>timely and accurate</w:t>
      </w:r>
      <w:r w:rsidRPr="00C70430">
        <w:rPr>
          <w:sz w:val="20"/>
          <w:szCs w:val="20"/>
        </w:rPr>
        <w:t xml:space="preserve"> spam data, </w:t>
      </w:r>
      <w:r>
        <w:rPr>
          <w:sz w:val="20"/>
          <w:szCs w:val="20"/>
        </w:rPr>
        <w:t>achieve</w:t>
      </w:r>
      <w:r w:rsidRPr="00C70430">
        <w:rPr>
          <w:sz w:val="20"/>
          <w:szCs w:val="20"/>
        </w:rPr>
        <w:t xml:space="preserve"> better mail filtering performance through the continuous training of personalized filtering algorithms</w:t>
      </w:r>
      <w:r>
        <w:rPr>
          <w:sz w:val="20"/>
          <w:szCs w:val="20"/>
        </w:rPr>
        <w:t>,</w:t>
      </w:r>
      <w:r w:rsidRPr="00C70430">
        <w:rPr>
          <w:sz w:val="20"/>
          <w:szCs w:val="20"/>
        </w:rPr>
        <w:t xml:space="preserve"> </w:t>
      </w:r>
      <w:r>
        <w:rPr>
          <w:sz w:val="20"/>
          <w:szCs w:val="20"/>
          <w:lang w:eastAsia="zh-CN"/>
        </w:rPr>
        <w:t xml:space="preserve">and </w:t>
      </w:r>
      <w:r w:rsidRPr="00C70430">
        <w:rPr>
          <w:sz w:val="20"/>
          <w:szCs w:val="20"/>
        </w:rPr>
        <w:t xml:space="preserve">improves </w:t>
      </w:r>
      <w:r>
        <w:rPr>
          <w:sz w:val="20"/>
          <w:szCs w:val="20"/>
        </w:rPr>
        <w:t xml:space="preserve">the </w:t>
      </w:r>
      <w:r w:rsidRPr="00C70430">
        <w:rPr>
          <w:sz w:val="20"/>
          <w:szCs w:val="20"/>
        </w:rPr>
        <w:t>competitiveness</w:t>
      </w:r>
      <w:r>
        <w:rPr>
          <w:sz w:val="20"/>
          <w:szCs w:val="20"/>
        </w:rPr>
        <w:t xml:space="preserve"> of their products</w:t>
      </w:r>
      <w:r w:rsidRPr="00C70430">
        <w:rPr>
          <w:sz w:val="20"/>
          <w:szCs w:val="20"/>
        </w:rPr>
        <w:t>.</w:t>
      </w:r>
      <w:r>
        <w:rPr>
          <w:sz w:val="20"/>
          <w:szCs w:val="20"/>
        </w:rPr>
        <w:t xml:space="preserve"> </w:t>
      </w:r>
      <w:r>
        <w:rPr>
          <w:rFonts w:hint="eastAsia"/>
          <w:sz w:val="20"/>
          <w:szCs w:val="20"/>
          <w:lang w:eastAsia="zh-CN"/>
        </w:rPr>
        <w:t>In</w:t>
      </w:r>
      <w:r>
        <w:rPr>
          <w:sz w:val="20"/>
          <w:szCs w:val="20"/>
          <w:lang w:eastAsia="zh-CN"/>
        </w:rPr>
        <w:t xml:space="preserve"> </w:t>
      </w:r>
      <w:r>
        <w:rPr>
          <w:rFonts w:hint="eastAsia"/>
          <w:sz w:val="20"/>
          <w:szCs w:val="20"/>
          <w:lang w:eastAsia="zh-CN"/>
        </w:rPr>
        <w:t>fact,</w:t>
      </w:r>
      <w:r>
        <w:rPr>
          <w:sz w:val="20"/>
          <w:szCs w:val="20"/>
          <w:lang w:eastAsia="zh-CN"/>
        </w:rPr>
        <w:t xml:space="preserve"> the value of the designed </w:t>
      </w:r>
      <w:r>
        <w:rPr>
          <w:rFonts w:hint="eastAsia"/>
          <w:sz w:val="20"/>
          <w:szCs w:val="20"/>
          <w:lang w:eastAsia="zh-CN"/>
        </w:rPr>
        <w:t>ince</w:t>
      </w:r>
      <w:r>
        <w:rPr>
          <w:sz w:val="20"/>
          <w:szCs w:val="20"/>
          <w:lang w:eastAsia="zh-CN"/>
        </w:rPr>
        <w:t xml:space="preserve">ntive mechanism can be enlarged through token trading and circulating in a </w:t>
      </w:r>
      <w:r>
        <w:rPr>
          <w:rFonts w:hint="eastAsia"/>
          <w:sz w:val="20"/>
          <w:szCs w:val="20"/>
          <w:lang w:eastAsia="zh-CN"/>
        </w:rPr>
        <w:t>token</w:t>
      </w:r>
      <w:r>
        <w:rPr>
          <w:sz w:val="20"/>
          <w:szCs w:val="20"/>
          <w:lang w:eastAsia="zh-CN"/>
        </w:rPr>
        <w:t>-</w:t>
      </w:r>
      <w:r>
        <w:rPr>
          <w:rFonts w:hint="eastAsia"/>
          <w:sz w:val="20"/>
          <w:szCs w:val="20"/>
          <w:lang w:eastAsia="zh-CN"/>
        </w:rPr>
        <w:t>ecosystem</w:t>
      </w:r>
      <w:r>
        <w:rPr>
          <w:sz w:val="20"/>
          <w:szCs w:val="20"/>
          <w:lang w:eastAsia="zh-CN"/>
        </w:rPr>
        <w:t>, which will be introduced in the following.</w:t>
      </w:r>
      <w:bookmarkEnd w:id="45"/>
    </w:p>
    <w:bookmarkEnd w:id="46"/>
    <w:p w14:paraId="3A6F9609" w14:textId="77777777" w:rsidR="004452A0" w:rsidRPr="002039C2" w:rsidRDefault="004452A0" w:rsidP="004452A0">
      <w:pPr>
        <w:adjustRightInd w:val="0"/>
        <w:snapToGrid w:val="0"/>
        <w:spacing w:after="0" w:line="240" w:lineRule="auto"/>
        <w:jc w:val="both"/>
        <w:rPr>
          <w:sz w:val="20"/>
          <w:szCs w:val="20"/>
        </w:rPr>
      </w:pPr>
    </w:p>
    <w:p w14:paraId="65DBB8F9" w14:textId="77777777" w:rsidR="004452A0" w:rsidRPr="00C70430" w:rsidRDefault="004452A0" w:rsidP="004452A0">
      <w:pPr>
        <w:adjustRightInd w:val="0"/>
        <w:snapToGrid w:val="0"/>
        <w:spacing w:after="0" w:line="240" w:lineRule="auto"/>
        <w:jc w:val="both"/>
        <w:rPr>
          <w:rFonts w:eastAsia="DFKai-SB"/>
          <w:b/>
          <w:sz w:val="20"/>
          <w:szCs w:val="20"/>
        </w:rPr>
      </w:pPr>
      <w:r w:rsidRPr="00C70430">
        <w:rPr>
          <w:rFonts w:eastAsia="DFKai-SB" w:hint="eastAsia"/>
          <w:b/>
          <w:sz w:val="20"/>
          <w:szCs w:val="20"/>
        </w:rPr>
        <w:t>Token</w:t>
      </w:r>
      <w:r w:rsidRPr="00C70430">
        <w:rPr>
          <w:rFonts w:eastAsia="DFKai-SB"/>
          <w:b/>
          <w:sz w:val="20"/>
          <w:szCs w:val="20"/>
        </w:rPr>
        <w:t xml:space="preserve"> </w:t>
      </w:r>
      <w:r w:rsidRPr="00C70430">
        <w:rPr>
          <w:rFonts w:eastAsia="DFKai-SB" w:hint="eastAsia"/>
          <w:b/>
          <w:sz w:val="20"/>
          <w:szCs w:val="20"/>
        </w:rPr>
        <w:t>Trading</w:t>
      </w:r>
      <w:r w:rsidRPr="00C70430">
        <w:rPr>
          <w:rFonts w:eastAsia="DFKai-SB"/>
          <w:b/>
          <w:sz w:val="20"/>
          <w:szCs w:val="20"/>
        </w:rPr>
        <w:t xml:space="preserve"> </w:t>
      </w:r>
      <w:r w:rsidRPr="00C70430">
        <w:rPr>
          <w:rFonts w:eastAsia="DFKai-SB" w:hint="eastAsia"/>
          <w:b/>
          <w:sz w:val="20"/>
          <w:szCs w:val="20"/>
        </w:rPr>
        <w:t>and</w:t>
      </w:r>
      <w:r w:rsidRPr="00C70430">
        <w:rPr>
          <w:rFonts w:eastAsia="DFKai-SB"/>
          <w:b/>
          <w:sz w:val="20"/>
          <w:szCs w:val="20"/>
        </w:rPr>
        <w:t xml:space="preserve"> </w:t>
      </w:r>
      <w:bookmarkStart w:id="48" w:name="_Hlk114347768"/>
      <w:r w:rsidRPr="00C70430">
        <w:rPr>
          <w:rFonts w:eastAsia="DFKai-SB" w:hint="eastAsia"/>
          <w:b/>
          <w:sz w:val="20"/>
          <w:szCs w:val="20"/>
        </w:rPr>
        <w:t>Circulating</w:t>
      </w:r>
      <w:bookmarkEnd w:id="48"/>
    </w:p>
    <w:p w14:paraId="39542344"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After receiving the token</w:t>
      </w:r>
      <w:r>
        <w:rPr>
          <w:sz w:val="20"/>
          <w:szCs w:val="20"/>
        </w:rPr>
        <w:t xml:space="preserve"> </w:t>
      </w:r>
      <w:r>
        <w:rPr>
          <w:rFonts w:eastAsiaTheme="minorEastAsia"/>
          <w:sz w:val="20"/>
          <w:szCs w:val="20"/>
          <w:lang w:eastAsia="zh-CN"/>
        </w:rPr>
        <w:t>rewards</w:t>
      </w:r>
      <w:r w:rsidRPr="00C70430">
        <w:rPr>
          <w:sz w:val="20"/>
          <w:szCs w:val="20"/>
        </w:rPr>
        <w:t xml:space="preserve">, users can redeem </w:t>
      </w:r>
      <w:r>
        <w:rPr>
          <w:sz w:val="20"/>
          <w:szCs w:val="20"/>
        </w:rPr>
        <w:t>them</w:t>
      </w:r>
      <w:r w:rsidRPr="00C70430">
        <w:rPr>
          <w:sz w:val="20"/>
          <w:szCs w:val="20"/>
        </w:rPr>
        <w:t xml:space="preserve"> </w:t>
      </w:r>
      <w:r>
        <w:rPr>
          <w:sz w:val="20"/>
          <w:szCs w:val="20"/>
        </w:rPr>
        <w:t>from</w:t>
      </w:r>
      <w:r w:rsidRPr="00C70430">
        <w:rPr>
          <w:sz w:val="20"/>
          <w:szCs w:val="20"/>
        </w:rPr>
        <w:t xml:space="preserve"> the enterprise</w:t>
      </w:r>
      <w:r>
        <w:rPr>
          <w:sz w:val="20"/>
          <w:szCs w:val="20"/>
        </w:rPr>
        <w:t xml:space="preserve"> according to the</w:t>
      </w:r>
      <w:r w:rsidRPr="00C70430">
        <w:rPr>
          <w:sz w:val="20"/>
          <w:szCs w:val="20"/>
        </w:rPr>
        <w:t xml:space="preserve"> reward-to-redemption ratio</w:t>
      </w:r>
      <w:r>
        <w:rPr>
          <w:sz w:val="20"/>
          <w:szCs w:val="20"/>
        </w:rPr>
        <w:t xml:space="preserve"> that all the participants have agreed on</w:t>
      </w:r>
      <w:r w:rsidRPr="00C70430">
        <w:rPr>
          <w:sz w:val="20"/>
          <w:szCs w:val="20"/>
        </w:rPr>
        <w:t xml:space="preserve">. </w:t>
      </w:r>
      <w:bookmarkStart w:id="49" w:name="OLE_LINK71"/>
      <w:r>
        <w:rPr>
          <w:sz w:val="20"/>
          <w:szCs w:val="20"/>
        </w:rPr>
        <w:t>Redeeming options can be</w:t>
      </w:r>
      <w:r w:rsidRPr="00C70430">
        <w:rPr>
          <w:sz w:val="20"/>
          <w:szCs w:val="20"/>
        </w:rPr>
        <w:t xml:space="preserve"> advanced mail services like huge attachment cloud storage and e-mail content refinement, as well as </w:t>
      </w:r>
      <w:r>
        <w:rPr>
          <w:sz w:val="20"/>
          <w:szCs w:val="20"/>
        </w:rPr>
        <w:t>other benefit</w:t>
      </w:r>
      <w:r w:rsidRPr="00C70430">
        <w:rPr>
          <w:sz w:val="20"/>
          <w:szCs w:val="20"/>
        </w:rPr>
        <w:t xml:space="preserve"> like </w:t>
      </w:r>
      <w:r>
        <w:rPr>
          <w:sz w:val="20"/>
          <w:szCs w:val="20"/>
        </w:rPr>
        <w:t>the e</w:t>
      </w:r>
      <w:r w:rsidRPr="00945D05">
        <w:rPr>
          <w:sz w:val="20"/>
          <w:szCs w:val="20"/>
        </w:rPr>
        <w:t>ligibility</w:t>
      </w:r>
      <w:r>
        <w:rPr>
          <w:sz w:val="20"/>
          <w:szCs w:val="20"/>
        </w:rPr>
        <w:t xml:space="preserve"> for </w:t>
      </w:r>
      <w:r w:rsidRPr="00C70430">
        <w:rPr>
          <w:sz w:val="20"/>
          <w:szCs w:val="20"/>
        </w:rPr>
        <w:t>internal purchas</w:t>
      </w:r>
      <w:r>
        <w:rPr>
          <w:sz w:val="20"/>
          <w:szCs w:val="20"/>
        </w:rPr>
        <w:t>ing</w:t>
      </w:r>
      <w:r w:rsidRPr="00C70430">
        <w:rPr>
          <w:sz w:val="20"/>
          <w:szCs w:val="20"/>
        </w:rPr>
        <w:t xml:space="preserve"> fund</w:t>
      </w:r>
      <w:r>
        <w:rPr>
          <w:sz w:val="20"/>
          <w:szCs w:val="20"/>
        </w:rPr>
        <w:t>s</w:t>
      </w:r>
      <w:r w:rsidRPr="00C70430">
        <w:rPr>
          <w:sz w:val="20"/>
          <w:szCs w:val="20"/>
        </w:rPr>
        <w:t>. Furthermore, by creating a ranking list of users receiving tokens and awarding medals, enterprise</w:t>
      </w:r>
      <w:r>
        <w:rPr>
          <w:sz w:val="20"/>
          <w:szCs w:val="20"/>
        </w:rPr>
        <w:t>s may also</w:t>
      </w:r>
      <w:r w:rsidRPr="00C70430">
        <w:rPr>
          <w:sz w:val="20"/>
          <w:szCs w:val="20"/>
        </w:rPr>
        <w:t xml:space="preserve"> transform the token into a comprehensive incentive that integrates economy, psychology, reputation</w:t>
      </w:r>
      <w:r>
        <w:rPr>
          <w:sz w:val="20"/>
          <w:szCs w:val="20"/>
        </w:rPr>
        <w:t>, which</w:t>
      </w:r>
      <w:r w:rsidRPr="00C70430">
        <w:rPr>
          <w:sz w:val="20"/>
          <w:szCs w:val="20"/>
        </w:rPr>
        <w:t xml:space="preserve"> may </w:t>
      </w:r>
      <w:r>
        <w:rPr>
          <w:sz w:val="20"/>
          <w:szCs w:val="20"/>
        </w:rPr>
        <w:t>enhance</w:t>
      </w:r>
      <w:r w:rsidRPr="00C70430">
        <w:rPr>
          <w:sz w:val="20"/>
          <w:szCs w:val="20"/>
        </w:rPr>
        <w:t xml:space="preserve"> the incentive effect.</w:t>
      </w:r>
      <w:bookmarkEnd w:id="49"/>
    </w:p>
    <w:p w14:paraId="6BD9B660" w14:textId="77777777" w:rsidR="004452A0" w:rsidRPr="00C70430" w:rsidRDefault="004452A0" w:rsidP="004452A0">
      <w:pPr>
        <w:adjustRightInd w:val="0"/>
        <w:snapToGrid w:val="0"/>
        <w:spacing w:after="0" w:line="240" w:lineRule="auto"/>
        <w:jc w:val="both"/>
        <w:rPr>
          <w:sz w:val="20"/>
          <w:szCs w:val="20"/>
        </w:rPr>
      </w:pPr>
    </w:p>
    <w:p w14:paraId="1A367671" w14:textId="49CC0F5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Enterprises obtain tokens from users </w:t>
      </w:r>
      <w:r>
        <w:rPr>
          <w:sz w:val="20"/>
          <w:szCs w:val="20"/>
        </w:rPr>
        <w:t>and use these tokens</w:t>
      </w:r>
      <w:r w:rsidRPr="00C70430">
        <w:rPr>
          <w:sz w:val="20"/>
          <w:szCs w:val="20"/>
        </w:rPr>
        <w:t xml:space="preserve"> to</w:t>
      </w:r>
      <w:r>
        <w:rPr>
          <w:sz w:val="20"/>
          <w:szCs w:val="20"/>
        </w:rPr>
        <w:t xml:space="preserve"> trade for</w:t>
      </w:r>
      <w:r w:rsidRPr="00C70430">
        <w:rPr>
          <w:sz w:val="20"/>
          <w:szCs w:val="20"/>
        </w:rPr>
        <w:t xml:space="preserve"> fee waivers</w:t>
      </w:r>
      <w:r>
        <w:rPr>
          <w:sz w:val="20"/>
          <w:szCs w:val="20"/>
        </w:rPr>
        <w:t xml:space="preserve"> from the service provider</w:t>
      </w:r>
      <w:r w:rsidRPr="00C70430">
        <w:rPr>
          <w:sz w:val="20"/>
          <w:szCs w:val="20"/>
        </w:rPr>
        <w:t xml:space="preserve">. Depending on the </w:t>
      </w:r>
      <w:r>
        <w:rPr>
          <w:sz w:val="20"/>
          <w:szCs w:val="20"/>
        </w:rPr>
        <w:t>demands in the ecosystem</w:t>
      </w:r>
      <w:r w:rsidRPr="00C70430">
        <w:rPr>
          <w:sz w:val="20"/>
          <w:szCs w:val="20"/>
        </w:rPr>
        <w:t xml:space="preserve">, the service provider may issue </w:t>
      </w:r>
      <w:r>
        <w:rPr>
          <w:sz w:val="20"/>
          <w:szCs w:val="20"/>
        </w:rPr>
        <w:t xml:space="preserve">new </w:t>
      </w:r>
      <w:r w:rsidRPr="00C70430">
        <w:rPr>
          <w:sz w:val="20"/>
          <w:szCs w:val="20"/>
        </w:rPr>
        <w:t xml:space="preserve">tokens when </w:t>
      </w:r>
      <w:r>
        <w:rPr>
          <w:sz w:val="20"/>
          <w:szCs w:val="20"/>
        </w:rPr>
        <w:t>existing ones</w:t>
      </w:r>
      <w:r w:rsidRPr="00C70430">
        <w:rPr>
          <w:sz w:val="20"/>
          <w:szCs w:val="20"/>
        </w:rPr>
        <w:t xml:space="preserve"> are insufficient. </w:t>
      </w:r>
      <w:r>
        <w:rPr>
          <w:sz w:val="20"/>
          <w:szCs w:val="20"/>
        </w:rPr>
        <w:t xml:space="preserve">To prevent </w:t>
      </w:r>
      <w:r w:rsidR="00EB0367">
        <w:rPr>
          <w:sz w:val="20"/>
          <w:szCs w:val="20"/>
        </w:rPr>
        <w:t xml:space="preserve">the </w:t>
      </w:r>
      <w:r>
        <w:rPr>
          <w:sz w:val="20"/>
          <w:szCs w:val="20"/>
        </w:rPr>
        <w:t>service provider from issuing tokens arbitrarily, the minimum exchange ratio between token and usage fee waiver can be specified, which provide the value basis for the tokens.</w:t>
      </w:r>
    </w:p>
    <w:p w14:paraId="366A8061" w14:textId="77777777" w:rsidR="004452A0" w:rsidRPr="00C70430" w:rsidRDefault="004452A0" w:rsidP="004452A0">
      <w:pPr>
        <w:adjustRightInd w:val="0"/>
        <w:snapToGrid w:val="0"/>
        <w:spacing w:after="0" w:line="240" w:lineRule="auto"/>
        <w:jc w:val="both"/>
        <w:rPr>
          <w:sz w:val="20"/>
          <w:szCs w:val="20"/>
        </w:rPr>
      </w:pPr>
    </w:p>
    <w:p w14:paraId="2ECBCCFA"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The service provider might </w:t>
      </w:r>
      <w:r>
        <w:rPr>
          <w:sz w:val="20"/>
          <w:szCs w:val="20"/>
        </w:rPr>
        <w:t>revise</w:t>
      </w:r>
      <w:r w:rsidRPr="00C70430">
        <w:rPr>
          <w:sz w:val="20"/>
          <w:szCs w:val="20"/>
        </w:rPr>
        <w:t xml:space="preserve"> the number of tokens issued in each period to control the cost </w:t>
      </w:r>
      <w:r>
        <w:rPr>
          <w:sz w:val="20"/>
          <w:szCs w:val="20"/>
        </w:rPr>
        <w:t>of rewards</w:t>
      </w:r>
      <w:r w:rsidRPr="00C70430">
        <w:rPr>
          <w:sz w:val="20"/>
          <w:szCs w:val="20"/>
        </w:rPr>
        <w:t xml:space="preserve">. The enterprise can decide whether to invest additional expenses to </w:t>
      </w:r>
      <w:r>
        <w:rPr>
          <w:sz w:val="20"/>
          <w:szCs w:val="20"/>
        </w:rPr>
        <w:t>encourage</w:t>
      </w:r>
      <w:r w:rsidRPr="00C70430">
        <w:rPr>
          <w:sz w:val="20"/>
          <w:szCs w:val="20"/>
        </w:rPr>
        <w:t xml:space="preserve"> users to report </w:t>
      </w:r>
      <w:r>
        <w:rPr>
          <w:sz w:val="20"/>
          <w:szCs w:val="20"/>
        </w:rPr>
        <w:t>spams</w:t>
      </w:r>
      <w:r w:rsidRPr="00C70430">
        <w:rPr>
          <w:sz w:val="20"/>
          <w:szCs w:val="20"/>
        </w:rPr>
        <w:t xml:space="preserve"> </w:t>
      </w:r>
      <w:r>
        <w:rPr>
          <w:sz w:val="20"/>
          <w:szCs w:val="20"/>
        </w:rPr>
        <w:t xml:space="preserve">according to a tradeoff between the inventive cost and the </w:t>
      </w:r>
      <w:r w:rsidRPr="00C70430">
        <w:rPr>
          <w:sz w:val="20"/>
          <w:szCs w:val="20"/>
        </w:rPr>
        <w:t xml:space="preserve">fee waivers. </w:t>
      </w:r>
      <w:r>
        <w:rPr>
          <w:sz w:val="20"/>
          <w:szCs w:val="20"/>
        </w:rPr>
        <w:t>Since t</w:t>
      </w:r>
      <w:r w:rsidRPr="00C70430">
        <w:rPr>
          <w:sz w:val="20"/>
          <w:szCs w:val="20"/>
        </w:rPr>
        <w:t xml:space="preserve">he value of tokens is fundamentally assured throughout the token circulation loop, enterprises and service providers may regulate their expenses flexibly, </w:t>
      </w:r>
      <w:r>
        <w:rPr>
          <w:sz w:val="20"/>
          <w:szCs w:val="20"/>
        </w:rPr>
        <w:t xml:space="preserve">and </w:t>
      </w:r>
      <w:r w:rsidRPr="00C70430">
        <w:rPr>
          <w:sz w:val="20"/>
          <w:szCs w:val="20"/>
        </w:rPr>
        <w:t>users can receive their appropriate benefits</w:t>
      </w:r>
      <w:r>
        <w:rPr>
          <w:sz w:val="20"/>
          <w:szCs w:val="20"/>
        </w:rPr>
        <w:t>.</w:t>
      </w:r>
      <w:r w:rsidRPr="00C70430">
        <w:rPr>
          <w:sz w:val="20"/>
          <w:szCs w:val="20"/>
        </w:rPr>
        <w:t xml:space="preserve"> </w:t>
      </w:r>
      <w:proofErr w:type="gramStart"/>
      <w:r>
        <w:rPr>
          <w:sz w:val="20"/>
          <w:szCs w:val="20"/>
        </w:rPr>
        <w:t>As a whole,</w:t>
      </w:r>
      <w:r w:rsidRPr="00C70430">
        <w:rPr>
          <w:sz w:val="20"/>
          <w:szCs w:val="20"/>
        </w:rPr>
        <w:t xml:space="preserve"> the</w:t>
      </w:r>
      <w:proofErr w:type="gramEnd"/>
      <w:r w:rsidRPr="00C70430">
        <w:rPr>
          <w:sz w:val="20"/>
          <w:szCs w:val="20"/>
        </w:rPr>
        <w:t xml:space="preserve"> entire mechanism can </w:t>
      </w:r>
      <w:r>
        <w:rPr>
          <w:sz w:val="20"/>
          <w:szCs w:val="20"/>
        </w:rPr>
        <w:t>function</w:t>
      </w:r>
      <w:r w:rsidRPr="00C70430">
        <w:rPr>
          <w:sz w:val="20"/>
          <w:szCs w:val="20"/>
        </w:rPr>
        <w:t xml:space="preserve"> effectively.</w:t>
      </w:r>
    </w:p>
    <w:p w14:paraId="5B834E16" w14:textId="77777777" w:rsidR="004452A0" w:rsidRDefault="004452A0" w:rsidP="004452A0">
      <w:pPr>
        <w:adjustRightInd w:val="0"/>
        <w:snapToGrid w:val="0"/>
        <w:spacing w:after="0" w:line="240" w:lineRule="auto"/>
        <w:jc w:val="both"/>
      </w:pPr>
    </w:p>
    <w:p w14:paraId="575795D5" w14:textId="77777777" w:rsidR="004452A0" w:rsidRPr="00C70430" w:rsidRDefault="004452A0" w:rsidP="004452A0">
      <w:pPr>
        <w:adjustRightInd w:val="0"/>
        <w:snapToGrid w:val="0"/>
        <w:spacing w:after="0" w:line="240" w:lineRule="auto"/>
        <w:jc w:val="center"/>
        <w:rPr>
          <w:rFonts w:eastAsia="DFKai-SB"/>
          <w:b/>
          <w:caps/>
          <w:sz w:val="20"/>
          <w:szCs w:val="20"/>
        </w:rPr>
      </w:pPr>
      <w:r w:rsidRPr="00C70430">
        <w:rPr>
          <w:rFonts w:eastAsia="DFKai-SB" w:hint="eastAsia"/>
          <w:b/>
          <w:caps/>
          <w:sz w:val="20"/>
          <w:szCs w:val="20"/>
        </w:rPr>
        <w:t>USER</w:t>
      </w:r>
      <w:r w:rsidRPr="00C70430">
        <w:rPr>
          <w:rFonts w:eastAsia="DFKai-SB"/>
          <w:b/>
          <w:caps/>
          <w:sz w:val="20"/>
          <w:szCs w:val="20"/>
        </w:rPr>
        <w:t xml:space="preserve"> </w:t>
      </w:r>
      <w:r w:rsidRPr="00C70430">
        <w:rPr>
          <w:rFonts w:eastAsia="DFKai-SB" w:hint="eastAsia"/>
          <w:b/>
          <w:caps/>
          <w:sz w:val="20"/>
          <w:szCs w:val="20"/>
        </w:rPr>
        <w:t>EXPERIMENT</w:t>
      </w:r>
    </w:p>
    <w:p w14:paraId="561BDF2C" w14:textId="77777777" w:rsidR="004452A0" w:rsidRDefault="004452A0" w:rsidP="004452A0">
      <w:pPr>
        <w:adjustRightInd w:val="0"/>
        <w:snapToGrid w:val="0"/>
        <w:spacing w:after="0" w:line="240" w:lineRule="auto"/>
        <w:jc w:val="both"/>
        <w:rPr>
          <w:sz w:val="20"/>
          <w:szCs w:val="20"/>
        </w:rPr>
      </w:pPr>
      <w:r w:rsidRPr="00C70430">
        <w:rPr>
          <w:sz w:val="20"/>
          <w:szCs w:val="20"/>
        </w:rPr>
        <w:t>Many researchers have used the evolutionary game method to measure the effectiveness of the incentive mechanism</w:t>
      </w:r>
      <w:r>
        <w:rPr>
          <w:sz w:val="20"/>
          <w:szCs w:val="20"/>
        </w:rPr>
        <w:t>. However, in our context,</w:t>
      </w:r>
      <w:r w:rsidRPr="00C70430">
        <w:rPr>
          <w:sz w:val="20"/>
          <w:szCs w:val="20"/>
        </w:rPr>
        <w:t xml:space="preserve"> it</w:t>
      </w:r>
      <w:r>
        <w:rPr>
          <w:sz w:val="20"/>
          <w:szCs w:val="20"/>
        </w:rPr>
        <w:t xml:space="preserve"> is</w:t>
      </w:r>
      <w:r w:rsidRPr="00C70430">
        <w:rPr>
          <w:sz w:val="20"/>
          <w:szCs w:val="20"/>
        </w:rPr>
        <w:t xml:space="preserve"> difficult to use rational person hypothesis and</w:t>
      </w:r>
      <w:r>
        <w:rPr>
          <w:sz w:val="20"/>
          <w:szCs w:val="20"/>
        </w:rPr>
        <w:t xml:space="preserve"> to</w:t>
      </w:r>
      <w:r w:rsidRPr="00C70430">
        <w:rPr>
          <w:sz w:val="20"/>
          <w:szCs w:val="20"/>
        </w:rPr>
        <w:t xml:space="preserve"> quantify earnings of users. </w:t>
      </w:r>
      <w:r>
        <w:rPr>
          <w:sz w:val="20"/>
          <w:szCs w:val="20"/>
        </w:rPr>
        <w:t>Noticing that</w:t>
      </w:r>
      <w:r w:rsidRPr="00C70430">
        <w:rPr>
          <w:sz w:val="20"/>
          <w:szCs w:val="20"/>
        </w:rPr>
        <w:t xml:space="preserve"> user experiment</w:t>
      </w:r>
      <w:r>
        <w:rPr>
          <w:sz w:val="20"/>
          <w:szCs w:val="20"/>
        </w:rPr>
        <w:t xml:space="preserve"> </w:t>
      </w:r>
      <w:r w:rsidRPr="00C70430">
        <w:rPr>
          <w:sz w:val="20"/>
          <w:szCs w:val="20"/>
        </w:rPr>
        <w:t xml:space="preserve">is </w:t>
      </w:r>
      <w:r>
        <w:rPr>
          <w:sz w:val="20"/>
          <w:szCs w:val="20"/>
        </w:rPr>
        <w:t>also a</w:t>
      </w:r>
      <w:r w:rsidRPr="00C70430">
        <w:rPr>
          <w:sz w:val="20"/>
          <w:szCs w:val="20"/>
        </w:rPr>
        <w:t xml:space="preserve"> practical</w:t>
      </w:r>
      <w:r>
        <w:rPr>
          <w:sz w:val="20"/>
          <w:szCs w:val="20"/>
        </w:rPr>
        <w:t xml:space="preserve"> and common</w:t>
      </w:r>
      <w:r w:rsidRPr="00C70430">
        <w:rPr>
          <w:sz w:val="20"/>
          <w:szCs w:val="20"/>
        </w:rPr>
        <w:t xml:space="preserve"> </w:t>
      </w:r>
      <w:r>
        <w:rPr>
          <w:sz w:val="20"/>
          <w:szCs w:val="20"/>
        </w:rPr>
        <w:t>method</w:t>
      </w:r>
      <w:r w:rsidRPr="00C70430">
        <w:rPr>
          <w:sz w:val="20"/>
          <w:szCs w:val="20"/>
        </w:rPr>
        <w:t xml:space="preserve"> </w:t>
      </w:r>
      <w:r>
        <w:rPr>
          <w:sz w:val="20"/>
          <w:szCs w:val="20"/>
        </w:rPr>
        <w:t>for</w:t>
      </w:r>
      <w:r w:rsidRPr="00C70430">
        <w:rPr>
          <w:sz w:val="20"/>
          <w:szCs w:val="20"/>
        </w:rPr>
        <w:t xml:space="preserve"> analyzing the incentive impact in information systems </w:t>
      </w:r>
      <w:r>
        <w:rPr>
          <w:sz w:val="20"/>
          <w:szCs w:val="20"/>
        </w:rPr>
        <w:t>since</w:t>
      </w:r>
      <w:r w:rsidRPr="00C70430">
        <w:rPr>
          <w:sz w:val="20"/>
          <w:szCs w:val="20"/>
        </w:rPr>
        <w:t xml:space="preserve"> the usage scenario can be easily modified and controlled </w:t>
      </w:r>
      <w:r w:rsidRPr="00C70430">
        <w:rPr>
          <w:sz w:val="20"/>
          <w:szCs w:val="20"/>
        </w:rPr>
        <w:fldChar w:fldCharType="begin"/>
      </w:r>
      <w:r>
        <w:rPr>
          <w:sz w:val="20"/>
          <w:szCs w:val="20"/>
        </w:rPr>
        <w:instrText xml:space="preserve"> ADDIN ZOTERO_ITEM CSL_CITATION {"citationID":"h4epFwqL","properties":{"formattedCitation":"(Jung et al., 2021)","plainCitation":"(Jung et al., 2021)","noteIndex":0},"citationItems":[{"id":1103,"uris":["http://zotero.org/users/8646247/items/YSQD8LLR"],"itemData":{"id":1103,"type":"article-journal","abstract":"Background\n              Despite the fact that the adoption rate of electronic health records has increased dramatically among high-income nations, it is still difficult to properly disseminate personal health records. Token economy, through blockchain smart contracts, can better distribute personal health records by providing incentives to patients. However, there have been very few studies regarding the particular factors that should be considered when designing incentive mechanisms in blockchain.\n            \n            \n              Objective\n              The aim of this paper is to provide 2 new mathematical models of token economy in real-world scenarios on health care blockchain platforms.\n            \n            \n              Methods\n              First, roles were set for the health care blockchain platform and its token flow. Second, 2 scenarios were introduced: collecting life-log data for an incentive program at a life insurance company to motivate customers to exercise more and recruiting participants for clinical trials of anticancer drugs. In our 2 scenarios, we assumed that there were 3 stakeholders: participants, data recipients (companies), and data providers (health care organizations). We also assumed that the incentives are initially paid out to participants by data recipients, who are focused on minimizing economic and time costs by adapting mechanism design. This concept can be seen as a part of game theory, since the willingness-to-pay of data recipients is important in maintaining the blockchain token economy. In both scenarios, the recruiting company can change the expected recruitment time and number of participants. Suppose a company considers the recruitment time to be more important than the number of participants and rewards. In that case, the company can increase the time weight and adjust cost. When the reward parameter is fixed, the corresponding expected recruitment time can be obtained. Among the reward and time pairs, the pair that minimizes the company’s cost was chosen. Finally, the optimized results were compared with the simulations and analyzed accordingly.\n            \n            \n              Results\n              To minimize the company</w:instrText>
      </w:r>
      <w:r>
        <w:rPr>
          <w:rFonts w:hint="eastAsia"/>
          <w:sz w:val="20"/>
          <w:szCs w:val="20"/>
        </w:rPr>
        <w:instrText>’</w:instrText>
      </w:r>
      <w:r>
        <w:rPr>
          <w:sz w:val="20"/>
          <w:szCs w:val="20"/>
        </w:rPr>
        <w:instrText xml:space="preserve">s costs, reward–time pairs were first collected. It was observed that the expected recruitment time decreased as rewards grew, while the rewards decreased as time cost grew. Therefore, the cost was represented by a convex curve, which made it possible to obtain a minimum—an optimal point—for both scenarios. Through sensitivity analysis, we observed that, as the time weight increased, the optimized reward increased, while the optimized time decreased. Moreover, as the number of participants increased, the optimization reward and time also increased.\n            \n            \n              Conclusions\n              In this study, we were able to model the incentive mechanism of blockchain based on a mechanism design that recruits participants through a health care blockchain platform. This study presents a basic approach to incentive modeling in personal health records, demonstrating how health care organizations and funding companies can motivate one another to join the platform.","container-title":"Journal of Medical Internet Research","DOI":"10.2196/26802","ISSN":"1438-8871","issue":"9","journalAbbreviation":"J Med Internet Res","language":"en","page":"e26802","source":"DOI.org (Crossref)","title":"Mechanism Design of Health Care Blockchain System Token Economy: Development Study Based on Simulated Real-World Scenarios","title-short":"Mechanism Design of Health Care Blockchain System Token Economy","volume":"23","author":[{"family":"Jung","given":"Se Young"},{"family":"Kim","given":"Taehyun"},{"family":"Hwang","given":"Hyung Ju"},{"family":"Hong","given":"Kyungpyo"}],"issued":{"date-parts":[["2021",9,13]]},"citation-key":"jungMechanismDesignHealth2021"}}],"schema":"https://github.com/citation-style-language/schema/raw/master/csl-citation.json"} </w:instrText>
      </w:r>
      <w:r w:rsidRPr="00C70430">
        <w:rPr>
          <w:sz w:val="20"/>
          <w:szCs w:val="20"/>
        </w:rPr>
        <w:fldChar w:fldCharType="separate"/>
      </w:r>
      <w:r>
        <w:rPr>
          <w:sz w:val="20"/>
          <w:szCs w:val="20"/>
        </w:rPr>
        <w:t>(Jung et al., 2021)</w:t>
      </w:r>
      <w:r w:rsidRPr="00C70430">
        <w:rPr>
          <w:sz w:val="20"/>
          <w:szCs w:val="20"/>
        </w:rPr>
        <w:fldChar w:fldCharType="end"/>
      </w:r>
      <w:r>
        <w:rPr>
          <w:sz w:val="20"/>
          <w:szCs w:val="20"/>
        </w:rPr>
        <w:t xml:space="preserve">, </w:t>
      </w:r>
      <w:r w:rsidRPr="00C70430">
        <w:rPr>
          <w:sz w:val="20"/>
          <w:szCs w:val="20"/>
        </w:rPr>
        <w:t xml:space="preserve"> </w:t>
      </w:r>
      <w:r>
        <w:rPr>
          <w:sz w:val="20"/>
          <w:szCs w:val="20"/>
        </w:rPr>
        <w:t xml:space="preserve">we decide to </w:t>
      </w:r>
      <w:r w:rsidRPr="00C70430">
        <w:rPr>
          <w:sz w:val="20"/>
          <w:szCs w:val="20"/>
        </w:rPr>
        <w:t xml:space="preserve">employ the user experiment method to evaluate the effect of </w:t>
      </w:r>
      <w:r>
        <w:rPr>
          <w:sz w:val="20"/>
          <w:szCs w:val="20"/>
        </w:rPr>
        <w:t>the designed</w:t>
      </w:r>
      <w:r w:rsidRPr="00C70430">
        <w:rPr>
          <w:sz w:val="20"/>
          <w:szCs w:val="20"/>
        </w:rPr>
        <w:t xml:space="preserve"> </w:t>
      </w:r>
      <w:r>
        <w:rPr>
          <w:sz w:val="20"/>
          <w:szCs w:val="20"/>
        </w:rPr>
        <w:t xml:space="preserve">blockchain </w:t>
      </w:r>
      <w:r w:rsidRPr="00C70430">
        <w:rPr>
          <w:sz w:val="20"/>
          <w:szCs w:val="20"/>
        </w:rPr>
        <w:t>token incentive</w:t>
      </w:r>
      <w:r>
        <w:rPr>
          <w:sz w:val="20"/>
          <w:szCs w:val="20"/>
        </w:rPr>
        <w:t xml:space="preserve"> mechanism</w:t>
      </w:r>
      <w:r w:rsidRPr="00C70430">
        <w:rPr>
          <w:sz w:val="20"/>
          <w:szCs w:val="20"/>
        </w:rPr>
        <w:t>.</w:t>
      </w:r>
    </w:p>
    <w:p w14:paraId="064D902D" w14:textId="77777777" w:rsidR="004452A0" w:rsidRPr="00C70430" w:rsidRDefault="004452A0" w:rsidP="004452A0">
      <w:pPr>
        <w:adjustRightInd w:val="0"/>
        <w:snapToGrid w:val="0"/>
        <w:spacing w:after="0" w:line="240" w:lineRule="auto"/>
        <w:jc w:val="both"/>
        <w:rPr>
          <w:sz w:val="20"/>
          <w:szCs w:val="20"/>
        </w:rPr>
      </w:pPr>
    </w:p>
    <w:p w14:paraId="68A0C51E" w14:textId="77777777" w:rsidR="004452A0" w:rsidRPr="00C70430" w:rsidRDefault="004452A0" w:rsidP="004452A0">
      <w:pPr>
        <w:adjustRightInd w:val="0"/>
        <w:snapToGrid w:val="0"/>
        <w:spacing w:after="0" w:line="240" w:lineRule="auto"/>
        <w:jc w:val="both"/>
        <w:rPr>
          <w:rFonts w:eastAsia="DFKai-SB"/>
          <w:b/>
          <w:sz w:val="20"/>
          <w:szCs w:val="20"/>
        </w:rPr>
      </w:pPr>
      <w:r w:rsidRPr="00C70430">
        <w:rPr>
          <w:rFonts w:eastAsia="DFKai-SB" w:hint="eastAsia"/>
          <w:b/>
          <w:sz w:val="20"/>
          <w:szCs w:val="20"/>
        </w:rPr>
        <w:t>Experiment</w:t>
      </w:r>
      <w:r>
        <w:rPr>
          <w:rFonts w:eastAsia="DFKai-SB"/>
          <w:b/>
          <w:sz w:val="20"/>
          <w:szCs w:val="20"/>
        </w:rPr>
        <w:t xml:space="preserve"> Design</w:t>
      </w:r>
    </w:p>
    <w:p w14:paraId="7AB707A1" w14:textId="77777777" w:rsidR="004452A0" w:rsidRPr="00C70430" w:rsidRDefault="004452A0" w:rsidP="004452A0">
      <w:pPr>
        <w:adjustRightInd w:val="0"/>
        <w:snapToGrid w:val="0"/>
        <w:spacing w:after="0" w:line="240" w:lineRule="auto"/>
        <w:jc w:val="both"/>
        <w:rPr>
          <w:sz w:val="20"/>
          <w:szCs w:val="20"/>
        </w:rPr>
      </w:pPr>
      <w:r>
        <w:rPr>
          <w:sz w:val="20"/>
          <w:szCs w:val="20"/>
        </w:rPr>
        <w:t>The experiment referred to the possible incentive input in the real word and set three groups. Although the value of a reporting token is designed to consistently change in the incentive mechanism, we set</w:t>
      </w:r>
      <w:r w:rsidRPr="00C70430">
        <w:rPr>
          <w:sz w:val="20"/>
          <w:szCs w:val="20"/>
        </w:rPr>
        <w:t xml:space="preserve"> the value of a token at 1 RMB</w:t>
      </w:r>
      <w:r>
        <w:rPr>
          <w:sz w:val="20"/>
          <w:szCs w:val="20"/>
        </w:rPr>
        <w:t xml:space="preserve"> in the experiment by altering the reward-to-token ratio to control the rewards subjects received. As a result, not only can we set groups with and without incentives to compare the incentive effect, but also set groups with certain incentive quantity to compare the incentive effect of different incentive inputs. And considering the actual incentives that enterprises and service providers may input, we set the non-incentive group, the 1 token/spam group and the 5 token/spam group in the experiment.</w:t>
      </w:r>
      <w:r w:rsidRPr="00C70430">
        <w:rPr>
          <w:sz w:val="20"/>
          <w:szCs w:val="20"/>
        </w:rPr>
        <w:t xml:space="preserve"> The</w:t>
      </w:r>
      <w:r w:rsidRPr="00C70430">
        <w:rPr>
          <w:rFonts w:hint="eastAsia"/>
          <w:sz w:val="20"/>
          <w:szCs w:val="20"/>
        </w:rPr>
        <w:t xml:space="preserve"> process of user experiment is as follows:</w:t>
      </w:r>
    </w:p>
    <w:p w14:paraId="5AACB5BB" w14:textId="77777777" w:rsidR="004452A0" w:rsidRPr="00C70430" w:rsidRDefault="004452A0" w:rsidP="004452A0">
      <w:pPr>
        <w:adjustRightInd w:val="0"/>
        <w:snapToGrid w:val="0"/>
        <w:spacing w:after="0" w:line="240" w:lineRule="auto"/>
        <w:jc w:val="both"/>
        <w:rPr>
          <w:sz w:val="20"/>
          <w:szCs w:val="20"/>
        </w:rPr>
      </w:pPr>
    </w:p>
    <w:p w14:paraId="2EC4A5B8"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(1) Click on the link. The entire user experiment </w:t>
      </w:r>
      <w:r>
        <w:rPr>
          <w:sz w:val="20"/>
          <w:szCs w:val="20"/>
        </w:rPr>
        <w:t>was conducted with PCs, including assessing the subjects’ system usage behaviors and their answering of questionnaires</w:t>
      </w:r>
      <w:r w:rsidRPr="00C70430">
        <w:rPr>
          <w:sz w:val="20"/>
          <w:szCs w:val="20"/>
        </w:rPr>
        <w:t xml:space="preserve">. The experimental subjects would receive the link </w:t>
      </w:r>
      <w:r>
        <w:rPr>
          <w:sz w:val="20"/>
          <w:szCs w:val="20"/>
        </w:rPr>
        <w:t>before</w:t>
      </w:r>
      <w:r w:rsidRPr="00C70430">
        <w:rPr>
          <w:sz w:val="20"/>
          <w:szCs w:val="20"/>
        </w:rPr>
        <w:t xml:space="preserve"> the experiment and </w:t>
      </w:r>
      <w:r>
        <w:rPr>
          <w:sz w:val="20"/>
          <w:szCs w:val="20"/>
        </w:rPr>
        <w:t>started</w:t>
      </w:r>
      <w:r w:rsidRPr="00C70430">
        <w:rPr>
          <w:sz w:val="20"/>
          <w:szCs w:val="20"/>
        </w:rPr>
        <w:t xml:space="preserve"> the experiment after clicking on it. After clicking the link, participants w</w:t>
      </w:r>
      <w:r>
        <w:rPr>
          <w:sz w:val="20"/>
          <w:szCs w:val="20"/>
        </w:rPr>
        <w:t>ould</w:t>
      </w:r>
      <w:r w:rsidRPr="00C70430">
        <w:rPr>
          <w:sz w:val="20"/>
          <w:szCs w:val="20"/>
        </w:rPr>
        <w:t xml:space="preserve"> be randomly redirected to </w:t>
      </w:r>
      <w:r>
        <w:rPr>
          <w:sz w:val="20"/>
          <w:szCs w:val="20"/>
        </w:rPr>
        <w:t>different versions of</w:t>
      </w:r>
      <w:r w:rsidRPr="00C70430">
        <w:rPr>
          <w:sz w:val="20"/>
          <w:szCs w:val="20"/>
        </w:rPr>
        <w:t xml:space="preserve"> system</w:t>
      </w:r>
      <w:r>
        <w:rPr>
          <w:sz w:val="20"/>
          <w:szCs w:val="20"/>
        </w:rPr>
        <w:t>s</w:t>
      </w:r>
      <w:r w:rsidRPr="00C70430">
        <w:rPr>
          <w:sz w:val="20"/>
          <w:szCs w:val="20"/>
        </w:rPr>
        <w:t xml:space="preserve"> with varied parameter </w:t>
      </w:r>
      <w:r>
        <w:rPr>
          <w:sz w:val="20"/>
          <w:szCs w:val="20"/>
        </w:rPr>
        <w:t>s</w:t>
      </w:r>
      <w:r w:rsidRPr="00C70430">
        <w:rPr>
          <w:sz w:val="20"/>
          <w:szCs w:val="20"/>
        </w:rPr>
        <w:t>ettings</w:t>
      </w:r>
      <w:r>
        <w:rPr>
          <w:sz w:val="20"/>
          <w:szCs w:val="20"/>
        </w:rPr>
        <w:t xml:space="preserve"> corresponding to different experimental groups. T</w:t>
      </w:r>
      <w:r w:rsidRPr="00C70430">
        <w:rPr>
          <w:sz w:val="20"/>
          <w:szCs w:val="20"/>
        </w:rPr>
        <w:t>he redirection</w:t>
      </w:r>
      <w:r>
        <w:rPr>
          <w:sz w:val="20"/>
          <w:szCs w:val="20"/>
        </w:rPr>
        <w:t>s</w:t>
      </w:r>
      <w:r w:rsidRPr="00C70430">
        <w:rPr>
          <w:sz w:val="20"/>
          <w:szCs w:val="20"/>
        </w:rPr>
        <w:t xml:space="preserve"> </w:t>
      </w:r>
      <w:r>
        <w:rPr>
          <w:sz w:val="20"/>
          <w:szCs w:val="20"/>
        </w:rPr>
        <w:t xml:space="preserve">were </w:t>
      </w:r>
      <w:r w:rsidRPr="00C70430">
        <w:rPr>
          <w:sz w:val="20"/>
          <w:szCs w:val="20"/>
        </w:rPr>
        <w:t>accomplished automatically in the back</w:t>
      </w:r>
      <w:r>
        <w:rPr>
          <w:sz w:val="20"/>
          <w:szCs w:val="20"/>
        </w:rPr>
        <w:t>end</w:t>
      </w:r>
      <w:r w:rsidRPr="00C70430">
        <w:rPr>
          <w:sz w:val="20"/>
          <w:szCs w:val="20"/>
        </w:rPr>
        <w:t xml:space="preserve"> with no user intervention</w:t>
      </w:r>
      <w:r>
        <w:rPr>
          <w:sz w:val="20"/>
          <w:szCs w:val="20"/>
        </w:rPr>
        <w:t xml:space="preserve"> required</w:t>
      </w:r>
      <w:r w:rsidRPr="00C70430">
        <w:rPr>
          <w:sz w:val="20"/>
          <w:szCs w:val="20"/>
        </w:rPr>
        <w:t>.</w:t>
      </w:r>
    </w:p>
    <w:p w14:paraId="49165511" w14:textId="77777777" w:rsidR="004452A0" w:rsidRPr="00C70430" w:rsidRDefault="004452A0" w:rsidP="004452A0">
      <w:pPr>
        <w:adjustRightInd w:val="0"/>
        <w:snapToGrid w:val="0"/>
        <w:spacing w:after="0" w:line="240" w:lineRule="auto"/>
        <w:jc w:val="both"/>
        <w:rPr>
          <w:sz w:val="20"/>
          <w:szCs w:val="20"/>
        </w:rPr>
      </w:pPr>
    </w:p>
    <w:p w14:paraId="78CA431E"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(2) Go through the experiment </w:t>
      </w:r>
      <w:r>
        <w:rPr>
          <w:sz w:val="20"/>
          <w:szCs w:val="20"/>
        </w:rPr>
        <w:t>instructions</w:t>
      </w:r>
      <w:r w:rsidRPr="00C70430">
        <w:rPr>
          <w:sz w:val="20"/>
          <w:szCs w:val="20"/>
        </w:rPr>
        <w:t>. The page jump</w:t>
      </w:r>
      <w:r>
        <w:rPr>
          <w:sz w:val="20"/>
          <w:szCs w:val="20"/>
        </w:rPr>
        <w:t>ed</w:t>
      </w:r>
      <w:r w:rsidRPr="00C70430">
        <w:rPr>
          <w:sz w:val="20"/>
          <w:szCs w:val="20"/>
        </w:rPr>
        <w:t xml:space="preserve"> to the experiment </w:t>
      </w:r>
      <w:r>
        <w:rPr>
          <w:sz w:val="20"/>
          <w:szCs w:val="20"/>
        </w:rPr>
        <w:t>instructions</w:t>
      </w:r>
      <w:r w:rsidRPr="00C70430">
        <w:rPr>
          <w:sz w:val="20"/>
          <w:szCs w:val="20"/>
        </w:rPr>
        <w:t xml:space="preserve"> after clicking the link. By reading the description, the subjects ha</w:t>
      </w:r>
      <w:r>
        <w:rPr>
          <w:sz w:val="20"/>
          <w:szCs w:val="20"/>
        </w:rPr>
        <w:t>d</w:t>
      </w:r>
      <w:r w:rsidRPr="00C70430">
        <w:rPr>
          <w:sz w:val="20"/>
          <w:szCs w:val="20"/>
        </w:rPr>
        <w:t xml:space="preserve"> a basic comprehension of the aim</w:t>
      </w:r>
      <w:r>
        <w:rPr>
          <w:sz w:val="20"/>
          <w:szCs w:val="20"/>
        </w:rPr>
        <w:t>s</w:t>
      </w:r>
      <w:r w:rsidRPr="00C70430">
        <w:rPr>
          <w:sz w:val="20"/>
          <w:szCs w:val="20"/>
        </w:rPr>
        <w:t>, process</w:t>
      </w:r>
      <w:r>
        <w:rPr>
          <w:sz w:val="20"/>
          <w:szCs w:val="20"/>
        </w:rPr>
        <w:t>es</w:t>
      </w:r>
      <w:r w:rsidRPr="00C70430">
        <w:rPr>
          <w:sz w:val="20"/>
          <w:szCs w:val="20"/>
        </w:rPr>
        <w:t>, estimated duration</w:t>
      </w:r>
      <w:r>
        <w:rPr>
          <w:sz w:val="20"/>
          <w:szCs w:val="20"/>
        </w:rPr>
        <w:t xml:space="preserve"> of the experiment</w:t>
      </w:r>
      <w:r w:rsidRPr="00C70430">
        <w:rPr>
          <w:sz w:val="20"/>
          <w:szCs w:val="20"/>
        </w:rPr>
        <w:t>,</w:t>
      </w:r>
      <w:r>
        <w:rPr>
          <w:sz w:val="20"/>
          <w:szCs w:val="20"/>
        </w:rPr>
        <w:t xml:space="preserve"> as well as </w:t>
      </w:r>
      <w:r>
        <w:rPr>
          <w:sz w:val="20"/>
          <w:szCs w:val="20"/>
        </w:rPr>
        <w:lastRenderedPageBreak/>
        <w:t>the basic concepts of</w:t>
      </w:r>
      <w:r w:rsidRPr="00C70430">
        <w:rPr>
          <w:sz w:val="20"/>
          <w:szCs w:val="20"/>
        </w:rPr>
        <w:t xml:space="preserve"> </w:t>
      </w:r>
      <w:r>
        <w:rPr>
          <w:sz w:val="20"/>
          <w:szCs w:val="20"/>
        </w:rPr>
        <w:t xml:space="preserve">blockchain and </w:t>
      </w:r>
      <w:r w:rsidRPr="00C70430">
        <w:rPr>
          <w:sz w:val="20"/>
          <w:szCs w:val="20"/>
        </w:rPr>
        <w:t>token</w:t>
      </w:r>
      <w:r>
        <w:rPr>
          <w:sz w:val="20"/>
          <w:szCs w:val="20"/>
        </w:rPr>
        <w:t>s</w:t>
      </w:r>
      <w:r w:rsidRPr="00C70430">
        <w:rPr>
          <w:sz w:val="20"/>
          <w:szCs w:val="20"/>
        </w:rPr>
        <w:t>. The subjects entered the</w:t>
      </w:r>
      <w:r>
        <w:rPr>
          <w:sz w:val="20"/>
          <w:szCs w:val="20"/>
        </w:rPr>
        <w:t xml:space="preserve"> prototype</w:t>
      </w:r>
      <w:r w:rsidRPr="00C70430">
        <w:rPr>
          <w:sz w:val="20"/>
          <w:szCs w:val="20"/>
        </w:rPr>
        <w:t xml:space="preserve"> email system after confirming that they had finished reading</w:t>
      </w:r>
      <w:r>
        <w:rPr>
          <w:sz w:val="20"/>
          <w:szCs w:val="20"/>
        </w:rPr>
        <w:t xml:space="preserve"> the instructions</w:t>
      </w:r>
      <w:r w:rsidRPr="00C70430">
        <w:rPr>
          <w:sz w:val="20"/>
          <w:szCs w:val="20"/>
        </w:rPr>
        <w:t>.</w:t>
      </w:r>
    </w:p>
    <w:p w14:paraId="027DBCDB" w14:textId="77777777" w:rsidR="004452A0" w:rsidRPr="00C70430" w:rsidRDefault="004452A0" w:rsidP="004452A0">
      <w:pPr>
        <w:adjustRightInd w:val="0"/>
        <w:snapToGrid w:val="0"/>
        <w:spacing w:after="0" w:line="240" w:lineRule="auto"/>
        <w:jc w:val="both"/>
        <w:rPr>
          <w:sz w:val="20"/>
          <w:szCs w:val="20"/>
        </w:rPr>
      </w:pPr>
    </w:p>
    <w:p w14:paraId="2CC2C0DA"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 xml:space="preserve">(3) Independent user exploration.  The experimental subjects </w:t>
      </w:r>
      <w:r>
        <w:rPr>
          <w:sz w:val="20"/>
          <w:szCs w:val="20"/>
        </w:rPr>
        <w:t>could</w:t>
      </w:r>
      <w:r w:rsidRPr="00C70430">
        <w:rPr>
          <w:sz w:val="20"/>
          <w:szCs w:val="20"/>
        </w:rPr>
        <w:t xml:space="preserve"> freely explore the prototype system, interact with it, and accomplish operations such as viewing mail</w:t>
      </w:r>
      <w:r>
        <w:rPr>
          <w:sz w:val="20"/>
          <w:szCs w:val="20"/>
        </w:rPr>
        <w:t>s</w:t>
      </w:r>
      <w:r w:rsidRPr="00C70430">
        <w:rPr>
          <w:sz w:val="20"/>
          <w:szCs w:val="20"/>
        </w:rPr>
        <w:t>, sending mail</w:t>
      </w:r>
      <w:r>
        <w:rPr>
          <w:sz w:val="20"/>
          <w:szCs w:val="20"/>
        </w:rPr>
        <w:t>s</w:t>
      </w:r>
      <w:r w:rsidRPr="00C70430">
        <w:rPr>
          <w:sz w:val="20"/>
          <w:szCs w:val="20"/>
        </w:rPr>
        <w:t xml:space="preserve">, </w:t>
      </w:r>
      <w:r>
        <w:rPr>
          <w:sz w:val="20"/>
          <w:szCs w:val="20"/>
        </w:rPr>
        <w:t>report</w:t>
      </w:r>
      <w:r w:rsidRPr="00C70430">
        <w:rPr>
          <w:sz w:val="20"/>
          <w:szCs w:val="20"/>
        </w:rPr>
        <w:t>ing mail</w:t>
      </w:r>
      <w:r>
        <w:rPr>
          <w:sz w:val="20"/>
          <w:szCs w:val="20"/>
        </w:rPr>
        <w:t>s</w:t>
      </w:r>
      <w:r w:rsidRPr="00C70430">
        <w:rPr>
          <w:sz w:val="20"/>
          <w:szCs w:val="20"/>
        </w:rPr>
        <w:t xml:space="preserve">, and so on. In its initial state, the email system </w:t>
      </w:r>
      <w:r>
        <w:rPr>
          <w:sz w:val="20"/>
          <w:szCs w:val="20"/>
        </w:rPr>
        <w:t>had</w:t>
      </w:r>
      <w:r w:rsidRPr="00C70430">
        <w:rPr>
          <w:sz w:val="20"/>
          <w:szCs w:val="20"/>
        </w:rPr>
        <w:t xml:space="preserve"> several mails in its bin and inbox, including two wrongly filtered mails</w:t>
      </w:r>
      <w:r>
        <w:rPr>
          <w:sz w:val="20"/>
          <w:szCs w:val="20"/>
        </w:rPr>
        <w:t>: one was spam but recognized as non-spam, another one was non-spam but recognized as spam</w:t>
      </w:r>
      <w:r w:rsidRPr="00C70430">
        <w:rPr>
          <w:sz w:val="20"/>
          <w:szCs w:val="20"/>
        </w:rPr>
        <w:t>. By reporting wrongly filtered emails, the user c</w:t>
      </w:r>
      <w:r>
        <w:rPr>
          <w:sz w:val="20"/>
          <w:szCs w:val="20"/>
        </w:rPr>
        <w:t>ould</w:t>
      </w:r>
      <w:r w:rsidRPr="00C70430">
        <w:rPr>
          <w:sz w:val="20"/>
          <w:szCs w:val="20"/>
        </w:rPr>
        <w:t xml:space="preserve"> get reporting tokens. In addition, a specific email reading </w:t>
      </w:r>
      <w:r>
        <w:rPr>
          <w:sz w:val="20"/>
          <w:szCs w:val="20"/>
        </w:rPr>
        <w:t>task</w:t>
      </w:r>
      <w:r w:rsidRPr="00C70430">
        <w:rPr>
          <w:sz w:val="20"/>
          <w:szCs w:val="20"/>
        </w:rPr>
        <w:t xml:space="preserve"> was assigned based on the</w:t>
      </w:r>
      <w:r>
        <w:rPr>
          <w:sz w:val="20"/>
          <w:szCs w:val="20"/>
        </w:rPr>
        <w:t xml:space="preserve"> actual</w:t>
      </w:r>
      <w:r w:rsidRPr="00C70430">
        <w:rPr>
          <w:sz w:val="20"/>
          <w:szCs w:val="20"/>
        </w:rPr>
        <w:t xml:space="preserve"> content of the email to guarantee that the subjects used the system correctly. The subjects entered the scene of receiving a new email after confirming the completion of email reading and investigating the system functionalities.</w:t>
      </w:r>
    </w:p>
    <w:p w14:paraId="466D33E1" w14:textId="77777777" w:rsidR="004452A0" w:rsidRPr="00C70430" w:rsidRDefault="004452A0" w:rsidP="004452A0">
      <w:pPr>
        <w:adjustRightInd w:val="0"/>
        <w:snapToGrid w:val="0"/>
        <w:spacing w:after="0" w:line="240" w:lineRule="auto"/>
        <w:jc w:val="both"/>
        <w:rPr>
          <w:sz w:val="20"/>
          <w:szCs w:val="20"/>
        </w:rPr>
      </w:pPr>
    </w:p>
    <w:p w14:paraId="666C108F"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(4) Receive new emails. The subjects received new emails, read them, and then acted on them. Three new messages were received</w:t>
      </w:r>
      <w:r>
        <w:rPr>
          <w:sz w:val="20"/>
          <w:szCs w:val="20"/>
        </w:rPr>
        <w:t xml:space="preserve"> by them:</w:t>
      </w:r>
      <w:r w:rsidRPr="00C70430">
        <w:rPr>
          <w:sz w:val="20"/>
          <w:szCs w:val="20"/>
        </w:rPr>
        <w:t xml:space="preserve"> two of wh</w:t>
      </w:r>
      <w:r>
        <w:rPr>
          <w:sz w:val="20"/>
          <w:szCs w:val="20"/>
        </w:rPr>
        <w:t>ich</w:t>
      </w:r>
      <w:r w:rsidRPr="00C70430">
        <w:rPr>
          <w:sz w:val="20"/>
          <w:szCs w:val="20"/>
        </w:rPr>
        <w:t xml:space="preserve"> were unfiltered spam and one of which was not. The user experiment terminate</w:t>
      </w:r>
      <w:r>
        <w:rPr>
          <w:sz w:val="20"/>
          <w:szCs w:val="20"/>
        </w:rPr>
        <w:t>d</w:t>
      </w:r>
      <w:r w:rsidRPr="00C70430">
        <w:rPr>
          <w:sz w:val="20"/>
          <w:szCs w:val="20"/>
        </w:rPr>
        <w:t xml:space="preserve"> when the subjects affirm</w:t>
      </w:r>
      <w:r>
        <w:rPr>
          <w:sz w:val="20"/>
          <w:szCs w:val="20"/>
        </w:rPr>
        <w:t>ed</w:t>
      </w:r>
      <w:r w:rsidRPr="00C70430">
        <w:rPr>
          <w:sz w:val="20"/>
          <w:szCs w:val="20"/>
        </w:rPr>
        <w:t xml:space="preserve"> that they </w:t>
      </w:r>
      <w:r>
        <w:rPr>
          <w:sz w:val="20"/>
          <w:szCs w:val="20"/>
        </w:rPr>
        <w:t>had</w:t>
      </w:r>
      <w:r w:rsidRPr="00C70430">
        <w:rPr>
          <w:sz w:val="20"/>
          <w:szCs w:val="20"/>
        </w:rPr>
        <w:t xml:space="preserve"> read the email</w:t>
      </w:r>
      <w:r>
        <w:rPr>
          <w:sz w:val="20"/>
          <w:szCs w:val="20"/>
        </w:rPr>
        <w:t>s</w:t>
      </w:r>
      <w:r w:rsidRPr="00C70430">
        <w:rPr>
          <w:sz w:val="20"/>
          <w:szCs w:val="20"/>
        </w:rPr>
        <w:t xml:space="preserve"> and completed the action</w:t>
      </w:r>
      <w:r>
        <w:rPr>
          <w:sz w:val="20"/>
          <w:szCs w:val="20"/>
        </w:rPr>
        <w:t>.</w:t>
      </w:r>
      <w:r w:rsidRPr="00C70430">
        <w:rPr>
          <w:sz w:val="20"/>
          <w:szCs w:val="20"/>
        </w:rPr>
        <w:t xml:space="preserve"> </w:t>
      </w:r>
      <w:r>
        <w:rPr>
          <w:sz w:val="20"/>
          <w:szCs w:val="20"/>
        </w:rPr>
        <w:t>A</w:t>
      </w:r>
      <w:r w:rsidRPr="00C70430">
        <w:rPr>
          <w:sz w:val="20"/>
          <w:szCs w:val="20"/>
        </w:rPr>
        <w:t>nd the</w:t>
      </w:r>
      <w:r>
        <w:rPr>
          <w:sz w:val="20"/>
          <w:szCs w:val="20"/>
        </w:rPr>
        <w:t>n</w:t>
      </w:r>
      <w:r w:rsidRPr="00C70430">
        <w:rPr>
          <w:sz w:val="20"/>
          <w:szCs w:val="20"/>
        </w:rPr>
        <w:t xml:space="preserve"> </w:t>
      </w:r>
      <w:r>
        <w:rPr>
          <w:sz w:val="20"/>
          <w:szCs w:val="20"/>
        </w:rPr>
        <w:t xml:space="preserve">the </w:t>
      </w:r>
      <w:r w:rsidRPr="00C70430">
        <w:rPr>
          <w:sz w:val="20"/>
          <w:szCs w:val="20"/>
        </w:rPr>
        <w:t>browser</w:t>
      </w:r>
      <w:r>
        <w:rPr>
          <w:sz w:val="20"/>
          <w:szCs w:val="20"/>
        </w:rPr>
        <w:t xml:space="preserve"> would</w:t>
      </w:r>
      <w:r w:rsidRPr="00C70430">
        <w:rPr>
          <w:sz w:val="20"/>
          <w:szCs w:val="20"/>
        </w:rPr>
        <w:t xml:space="preserve"> navigate to the questionnaire link.</w:t>
      </w:r>
    </w:p>
    <w:p w14:paraId="5AC42546" w14:textId="77777777" w:rsidR="004452A0" w:rsidRPr="00C70430" w:rsidRDefault="004452A0" w:rsidP="004452A0">
      <w:pPr>
        <w:adjustRightInd w:val="0"/>
        <w:snapToGrid w:val="0"/>
        <w:spacing w:after="0" w:line="240" w:lineRule="auto"/>
        <w:jc w:val="both"/>
        <w:rPr>
          <w:sz w:val="20"/>
          <w:szCs w:val="20"/>
        </w:rPr>
      </w:pPr>
    </w:p>
    <w:p w14:paraId="31D6DAC7" w14:textId="77777777" w:rsidR="004452A0" w:rsidRDefault="004452A0" w:rsidP="004452A0">
      <w:pPr>
        <w:adjustRightInd w:val="0"/>
        <w:snapToGrid w:val="0"/>
        <w:spacing w:after="0" w:line="240" w:lineRule="auto"/>
        <w:jc w:val="both"/>
        <w:rPr>
          <w:sz w:val="20"/>
          <w:szCs w:val="20"/>
        </w:rPr>
      </w:pPr>
      <w:r w:rsidRPr="00C70430">
        <w:rPr>
          <w:sz w:val="20"/>
          <w:szCs w:val="20"/>
        </w:rPr>
        <w:t xml:space="preserve">(5) </w:t>
      </w:r>
      <w:bookmarkStart w:id="50" w:name="_Hlk113523918"/>
      <w:r w:rsidRPr="00C70430">
        <w:rPr>
          <w:sz w:val="20"/>
          <w:szCs w:val="20"/>
        </w:rPr>
        <w:t xml:space="preserve">Complete the questionnaire. The questionnaire comprised three questions and used a five-level scale to assess the strength of incentives users </w:t>
      </w:r>
      <w:r>
        <w:rPr>
          <w:sz w:val="20"/>
          <w:szCs w:val="20"/>
        </w:rPr>
        <w:t>perceived</w:t>
      </w:r>
      <w:r w:rsidRPr="00C70430">
        <w:rPr>
          <w:sz w:val="20"/>
          <w:szCs w:val="20"/>
        </w:rPr>
        <w:t xml:space="preserve"> in order to investigate their subjective perceptions of </w:t>
      </w:r>
      <w:bookmarkStart w:id="51" w:name="OLE_LINK88"/>
      <w:bookmarkStart w:id="52" w:name="OLE_LINK89"/>
      <w:bookmarkStart w:id="53" w:name="OLE_LINK92"/>
      <w:r w:rsidRPr="00C70430">
        <w:rPr>
          <w:sz w:val="20"/>
          <w:szCs w:val="20"/>
        </w:rPr>
        <w:t xml:space="preserve">incentive </w:t>
      </w:r>
      <w:bookmarkEnd w:id="51"/>
      <w:bookmarkEnd w:id="52"/>
      <w:bookmarkEnd w:id="53"/>
      <w:r>
        <w:rPr>
          <w:sz w:val="20"/>
          <w:szCs w:val="20"/>
        </w:rPr>
        <w:t>effect</w:t>
      </w:r>
      <w:r w:rsidRPr="00C70430">
        <w:rPr>
          <w:sz w:val="20"/>
          <w:szCs w:val="20"/>
        </w:rPr>
        <w:t>.</w:t>
      </w:r>
    </w:p>
    <w:p w14:paraId="767D4F72" w14:textId="77777777" w:rsidR="00321249" w:rsidRPr="00C70430" w:rsidRDefault="00321249" w:rsidP="004452A0">
      <w:pPr>
        <w:adjustRightInd w:val="0"/>
        <w:snapToGrid w:val="0"/>
        <w:spacing w:after="0" w:line="240" w:lineRule="auto"/>
        <w:jc w:val="both"/>
        <w:rPr>
          <w:sz w:val="20"/>
          <w:szCs w:val="20"/>
        </w:rPr>
      </w:pPr>
    </w:p>
    <w:p w14:paraId="1A93D0CC" w14:textId="77777777" w:rsidR="004452A0" w:rsidRPr="000E14FC" w:rsidRDefault="004452A0" w:rsidP="004452A0">
      <w:pPr>
        <w:adjustRightInd w:val="0"/>
        <w:snapToGrid w:val="0"/>
        <w:spacing w:after="0" w:line="240" w:lineRule="auto"/>
        <w:jc w:val="center"/>
        <w:rPr>
          <w:sz w:val="20"/>
          <w:szCs w:val="20"/>
        </w:rPr>
      </w:pPr>
      <w:bookmarkStart w:id="54" w:name="_Hlk113526405"/>
      <w:r w:rsidRPr="000E14FC">
        <w:rPr>
          <w:sz w:val="20"/>
          <w:szCs w:val="20"/>
        </w:rPr>
        <w:t xml:space="preserve">Table 2 The Questionnaire of </w:t>
      </w:r>
      <w:r>
        <w:rPr>
          <w:sz w:val="20"/>
          <w:szCs w:val="20"/>
        </w:rPr>
        <w:t>Perceived Incentive Strength</w:t>
      </w:r>
    </w:p>
    <w:tbl>
      <w:tblPr>
        <w:tblW w:w="0" w:type="auto"/>
        <w:jc w:val="center"/>
        <w:tblLook w:val="04A0" w:firstRow="1" w:lastRow="0" w:firstColumn="1" w:lastColumn="0" w:noHBand="0" w:noVBand="1"/>
      </w:tblPr>
      <w:tblGrid>
        <w:gridCol w:w="3054"/>
        <w:gridCol w:w="905"/>
        <w:gridCol w:w="6169"/>
      </w:tblGrid>
      <w:tr w:rsidR="004452A0" w14:paraId="3AD696C6" w14:textId="77777777" w:rsidTr="00F14C04">
        <w:trPr>
          <w:jc w:val="center"/>
        </w:trPr>
        <w:tc>
          <w:tcPr>
            <w:tcW w:w="3054" w:type="dxa"/>
            <w:tcBorders>
              <w:top w:val="single" w:sz="12" w:space="0" w:color="auto"/>
              <w:bottom w:val="single" w:sz="8" w:space="0" w:color="000000"/>
            </w:tcBorders>
            <w:shd w:val="clear" w:color="auto" w:fill="auto"/>
            <w:vAlign w:val="center"/>
          </w:tcPr>
          <w:bookmarkEnd w:id="50"/>
          <w:bookmarkEnd w:id="54"/>
          <w:p w14:paraId="33BDE70B" w14:textId="77777777" w:rsidR="004452A0" w:rsidRDefault="004452A0" w:rsidP="00F14C04">
            <w:pPr>
              <w:adjustRightInd w:val="0"/>
              <w:snapToGrid w:val="0"/>
              <w:spacing w:after="0" w:line="240" w:lineRule="auto"/>
              <w:jc w:val="center"/>
              <w:rPr>
                <w:sz w:val="20"/>
                <w:szCs w:val="20"/>
              </w:rPr>
            </w:pPr>
            <w:r>
              <w:rPr>
                <w:rFonts w:hint="eastAsia"/>
                <w:sz w:val="20"/>
                <w:szCs w:val="20"/>
              </w:rPr>
              <w:t>V</w:t>
            </w:r>
            <w:r>
              <w:rPr>
                <w:sz w:val="20"/>
                <w:szCs w:val="20"/>
              </w:rPr>
              <w:t>ariables</w:t>
            </w:r>
          </w:p>
        </w:tc>
        <w:tc>
          <w:tcPr>
            <w:tcW w:w="905" w:type="dxa"/>
            <w:tcBorders>
              <w:top w:val="single" w:sz="12" w:space="0" w:color="auto"/>
              <w:bottom w:val="single" w:sz="8" w:space="0" w:color="000000"/>
            </w:tcBorders>
            <w:shd w:val="clear" w:color="auto" w:fill="auto"/>
            <w:vAlign w:val="center"/>
          </w:tcPr>
          <w:p w14:paraId="17556F09" w14:textId="77777777" w:rsidR="004452A0" w:rsidRDefault="004452A0" w:rsidP="00F14C04">
            <w:pPr>
              <w:adjustRightInd w:val="0"/>
              <w:snapToGrid w:val="0"/>
              <w:spacing w:after="0" w:line="240" w:lineRule="auto"/>
              <w:jc w:val="center"/>
              <w:rPr>
                <w:sz w:val="20"/>
                <w:szCs w:val="20"/>
              </w:rPr>
            </w:pPr>
            <w:r>
              <w:rPr>
                <w:sz w:val="20"/>
                <w:szCs w:val="20"/>
              </w:rPr>
              <w:t>Number</w:t>
            </w:r>
          </w:p>
        </w:tc>
        <w:tc>
          <w:tcPr>
            <w:tcW w:w="6169" w:type="dxa"/>
            <w:tcBorders>
              <w:top w:val="single" w:sz="12" w:space="0" w:color="auto"/>
              <w:bottom w:val="single" w:sz="8" w:space="0" w:color="000000"/>
            </w:tcBorders>
            <w:shd w:val="clear" w:color="auto" w:fill="auto"/>
            <w:vAlign w:val="center"/>
          </w:tcPr>
          <w:p w14:paraId="43915E2C" w14:textId="77777777" w:rsidR="004452A0" w:rsidRDefault="004452A0" w:rsidP="00F14C04">
            <w:pPr>
              <w:adjustRightInd w:val="0"/>
              <w:snapToGrid w:val="0"/>
              <w:spacing w:after="0" w:line="240" w:lineRule="auto"/>
              <w:jc w:val="center"/>
              <w:rPr>
                <w:sz w:val="20"/>
                <w:szCs w:val="20"/>
              </w:rPr>
            </w:pPr>
            <w:r>
              <w:rPr>
                <w:rFonts w:hint="eastAsia"/>
                <w:sz w:val="20"/>
                <w:szCs w:val="20"/>
              </w:rPr>
              <w:t>Q</w:t>
            </w:r>
            <w:r>
              <w:rPr>
                <w:sz w:val="20"/>
                <w:szCs w:val="20"/>
              </w:rPr>
              <w:t>uestions</w:t>
            </w:r>
          </w:p>
        </w:tc>
      </w:tr>
      <w:tr w:rsidR="004452A0" w14:paraId="4FB05FCB" w14:textId="77777777" w:rsidTr="00F14C04">
        <w:trPr>
          <w:jc w:val="center"/>
        </w:trPr>
        <w:tc>
          <w:tcPr>
            <w:tcW w:w="3054" w:type="dxa"/>
            <w:vMerge w:val="restart"/>
            <w:tcBorders>
              <w:top w:val="single" w:sz="8" w:space="0" w:color="000000"/>
            </w:tcBorders>
            <w:shd w:val="clear" w:color="auto" w:fill="auto"/>
            <w:vAlign w:val="center"/>
          </w:tcPr>
          <w:p w14:paraId="55630D22" w14:textId="77777777" w:rsidR="004452A0" w:rsidRDefault="004452A0" w:rsidP="00F14C04">
            <w:pPr>
              <w:adjustRightInd w:val="0"/>
              <w:snapToGrid w:val="0"/>
              <w:spacing w:after="0" w:line="240" w:lineRule="auto"/>
              <w:jc w:val="center"/>
              <w:rPr>
                <w:sz w:val="20"/>
                <w:szCs w:val="20"/>
              </w:rPr>
            </w:pPr>
            <w:bookmarkStart w:id="55" w:name="_Hlk113524060"/>
            <w:r>
              <w:rPr>
                <w:sz w:val="20"/>
                <w:szCs w:val="20"/>
              </w:rPr>
              <w:t>Perceived Incentive Strength</w:t>
            </w:r>
          </w:p>
        </w:tc>
        <w:tc>
          <w:tcPr>
            <w:tcW w:w="905" w:type="dxa"/>
            <w:tcBorders>
              <w:top w:val="single" w:sz="8" w:space="0" w:color="000000"/>
            </w:tcBorders>
            <w:shd w:val="clear" w:color="auto" w:fill="auto"/>
            <w:vAlign w:val="center"/>
          </w:tcPr>
          <w:p w14:paraId="53FBBE12" w14:textId="77777777" w:rsidR="004452A0" w:rsidRDefault="004452A0" w:rsidP="00F14C04">
            <w:pPr>
              <w:adjustRightInd w:val="0"/>
              <w:snapToGrid w:val="0"/>
              <w:spacing w:after="0" w:line="240" w:lineRule="auto"/>
              <w:jc w:val="center"/>
              <w:rPr>
                <w:sz w:val="20"/>
                <w:szCs w:val="20"/>
              </w:rPr>
            </w:pPr>
            <w:bookmarkStart w:id="56" w:name="_Hlk99990209"/>
            <w:r>
              <w:rPr>
                <w:sz w:val="20"/>
                <w:szCs w:val="20"/>
              </w:rPr>
              <w:t>PIS1</w:t>
            </w:r>
            <w:bookmarkEnd w:id="56"/>
          </w:p>
        </w:tc>
        <w:tc>
          <w:tcPr>
            <w:tcW w:w="6169" w:type="dxa"/>
            <w:tcBorders>
              <w:top w:val="single" w:sz="8" w:space="0" w:color="000000"/>
            </w:tcBorders>
            <w:shd w:val="clear" w:color="auto" w:fill="auto"/>
          </w:tcPr>
          <w:p w14:paraId="7BB7A7E1" w14:textId="77777777" w:rsidR="004452A0" w:rsidRDefault="004452A0" w:rsidP="00F14C04">
            <w:pPr>
              <w:adjustRightInd w:val="0"/>
              <w:snapToGrid w:val="0"/>
              <w:spacing w:after="0" w:line="240" w:lineRule="auto"/>
              <w:jc w:val="center"/>
              <w:rPr>
                <w:sz w:val="20"/>
                <w:szCs w:val="20"/>
              </w:rPr>
            </w:pPr>
            <w:r>
              <w:rPr>
                <w:rFonts w:hint="eastAsia"/>
                <w:sz w:val="20"/>
                <w:szCs w:val="20"/>
              </w:rPr>
              <w:t xml:space="preserve">The system can issue </w:t>
            </w:r>
            <w:r>
              <w:rPr>
                <w:sz w:val="20"/>
                <w:szCs w:val="20"/>
              </w:rPr>
              <w:t>many</w:t>
            </w:r>
            <w:r>
              <w:rPr>
                <w:rFonts w:hint="eastAsia"/>
                <w:sz w:val="20"/>
                <w:szCs w:val="20"/>
              </w:rPr>
              <w:t xml:space="preserve"> </w:t>
            </w:r>
            <w:r>
              <w:rPr>
                <w:sz w:val="20"/>
                <w:szCs w:val="20"/>
              </w:rPr>
              <w:t>rewards</w:t>
            </w:r>
          </w:p>
        </w:tc>
      </w:tr>
      <w:tr w:rsidR="004452A0" w14:paraId="02AD0729" w14:textId="77777777" w:rsidTr="00F14C04">
        <w:trPr>
          <w:jc w:val="center"/>
        </w:trPr>
        <w:tc>
          <w:tcPr>
            <w:tcW w:w="3054" w:type="dxa"/>
            <w:vMerge/>
            <w:shd w:val="clear" w:color="auto" w:fill="auto"/>
            <w:vAlign w:val="center"/>
          </w:tcPr>
          <w:p w14:paraId="3C57CEBB" w14:textId="77777777" w:rsidR="004452A0" w:rsidRDefault="004452A0" w:rsidP="00F14C04">
            <w:pPr>
              <w:adjustRightInd w:val="0"/>
              <w:snapToGrid w:val="0"/>
              <w:spacing w:after="0" w:line="240" w:lineRule="auto"/>
              <w:jc w:val="center"/>
              <w:rPr>
                <w:sz w:val="20"/>
                <w:szCs w:val="20"/>
              </w:rPr>
            </w:pPr>
          </w:p>
        </w:tc>
        <w:tc>
          <w:tcPr>
            <w:tcW w:w="905" w:type="dxa"/>
            <w:shd w:val="clear" w:color="auto" w:fill="auto"/>
            <w:vAlign w:val="center"/>
          </w:tcPr>
          <w:p w14:paraId="0FA2A990" w14:textId="77777777" w:rsidR="004452A0" w:rsidRDefault="004452A0" w:rsidP="00F14C04">
            <w:pPr>
              <w:adjustRightInd w:val="0"/>
              <w:snapToGrid w:val="0"/>
              <w:spacing w:after="0" w:line="240" w:lineRule="auto"/>
              <w:jc w:val="center"/>
              <w:rPr>
                <w:sz w:val="20"/>
                <w:szCs w:val="20"/>
              </w:rPr>
            </w:pPr>
            <w:bookmarkStart w:id="57" w:name="OLE_LINK311"/>
            <w:r>
              <w:rPr>
                <w:sz w:val="20"/>
                <w:szCs w:val="20"/>
              </w:rPr>
              <w:t>PIS2</w:t>
            </w:r>
            <w:bookmarkEnd w:id="57"/>
          </w:p>
        </w:tc>
        <w:tc>
          <w:tcPr>
            <w:tcW w:w="6169" w:type="dxa"/>
            <w:shd w:val="clear" w:color="auto" w:fill="auto"/>
          </w:tcPr>
          <w:p w14:paraId="6E4FB3AE" w14:textId="77777777" w:rsidR="004452A0" w:rsidRDefault="004452A0" w:rsidP="00F14C04">
            <w:pPr>
              <w:adjustRightInd w:val="0"/>
              <w:snapToGrid w:val="0"/>
              <w:spacing w:after="0" w:line="240" w:lineRule="auto"/>
              <w:jc w:val="center"/>
              <w:rPr>
                <w:sz w:val="20"/>
                <w:szCs w:val="20"/>
              </w:rPr>
            </w:pPr>
            <w:r>
              <w:rPr>
                <w:rFonts w:hint="eastAsia"/>
                <w:sz w:val="20"/>
                <w:szCs w:val="20"/>
              </w:rPr>
              <w:t xml:space="preserve">I get a lot of rewards for </w:t>
            </w:r>
            <w:r>
              <w:rPr>
                <w:sz w:val="20"/>
                <w:szCs w:val="20"/>
              </w:rPr>
              <w:t>report</w:t>
            </w:r>
            <w:r>
              <w:rPr>
                <w:rFonts w:hint="eastAsia"/>
                <w:sz w:val="20"/>
                <w:szCs w:val="20"/>
              </w:rPr>
              <w:t xml:space="preserve">ing </w:t>
            </w:r>
            <w:r>
              <w:rPr>
                <w:sz w:val="20"/>
                <w:szCs w:val="20"/>
              </w:rPr>
              <w:t>spam</w:t>
            </w:r>
          </w:p>
        </w:tc>
      </w:tr>
      <w:tr w:rsidR="004452A0" w14:paraId="4A1A681B" w14:textId="77777777" w:rsidTr="00F14C04">
        <w:trPr>
          <w:jc w:val="center"/>
        </w:trPr>
        <w:tc>
          <w:tcPr>
            <w:tcW w:w="3054" w:type="dxa"/>
            <w:vMerge/>
            <w:tcBorders>
              <w:bottom w:val="single" w:sz="8" w:space="0" w:color="000000"/>
            </w:tcBorders>
            <w:shd w:val="clear" w:color="auto" w:fill="auto"/>
            <w:vAlign w:val="center"/>
          </w:tcPr>
          <w:p w14:paraId="42F86791" w14:textId="77777777" w:rsidR="004452A0" w:rsidRDefault="004452A0" w:rsidP="00F14C04">
            <w:pPr>
              <w:adjustRightInd w:val="0"/>
              <w:snapToGrid w:val="0"/>
              <w:spacing w:after="0" w:line="240" w:lineRule="auto"/>
              <w:jc w:val="center"/>
              <w:rPr>
                <w:sz w:val="20"/>
                <w:szCs w:val="20"/>
              </w:rPr>
            </w:pPr>
          </w:p>
        </w:tc>
        <w:tc>
          <w:tcPr>
            <w:tcW w:w="905" w:type="dxa"/>
            <w:tcBorders>
              <w:bottom w:val="single" w:sz="8" w:space="0" w:color="000000"/>
            </w:tcBorders>
            <w:shd w:val="clear" w:color="auto" w:fill="auto"/>
            <w:vAlign w:val="center"/>
          </w:tcPr>
          <w:p w14:paraId="4EA9FDF1" w14:textId="77777777" w:rsidR="004452A0" w:rsidRDefault="004452A0" w:rsidP="00F14C04">
            <w:pPr>
              <w:adjustRightInd w:val="0"/>
              <w:snapToGrid w:val="0"/>
              <w:spacing w:after="0" w:line="240" w:lineRule="auto"/>
              <w:jc w:val="center"/>
              <w:rPr>
                <w:sz w:val="20"/>
                <w:szCs w:val="20"/>
              </w:rPr>
            </w:pPr>
            <w:bookmarkStart w:id="58" w:name="_Hlk99990219"/>
            <w:r>
              <w:rPr>
                <w:sz w:val="20"/>
                <w:szCs w:val="20"/>
              </w:rPr>
              <w:t>PIS3</w:t>
            </w:r>
            <w:bookmarkEnd w:id="58"/>
          </w:p>
        </w:tc>
        <w:tc>
          <w:tcPr>
            <w:tcW w:w="6169" w:type="dxa"/>
            <w:tcBorders>
              <w:bottom w:val="single" w:sz="8" w:space="0" w:color="000000"/>
            </w:tcBorders>
            <w:shd w:val="clear" w:color="auto" w:fill="auto"/>
          </w:tcPr>
          <w:p w14:paraId="6A7FF657" w14:textId="77777777" w:rsidR="004452A0" w:rsidRDefault="004452A0" w:rsidP="00F14C04">
            <w:pPr>
              <w:adjustRightInd w:val="0"/>
              <w:snapToGrid w:val="0"/>
              <w:spacing w:after="0" w:line="240" w:lineRule="auto"/>
              <w:jc w:val="center"/>
              <w:rPr>
                <w:sz w:val="20"/>
                <w:szCs w:val="20"/>
              </w:rPr>
            </w:pPr>
            <w:r>
              <w:rPr>
                <w:rFonts w:hint="eastAsia"/>
                <w:sz w:val="20"/>
                <w:szCs w:val="20"/>
              </w:rPr>
              <w:t xml:space="preserve">If I actively </w:t>
            </w:r>
            <w:r>
              <w:rPr>
                <w:sz w:val="20"/>
                <w:szCs w:val="20"/>
              </w:rPr>
              <w:t>report spam</w:t>
            </w:r>
            <w:r>
              <w:rPr>
                <w:rFonts w:hint="eastAsia"/>
                <w:sz w:val="20"/>
                <w:szCs w:val="20"/>
              </w:rPr>
              <w:t>, I can quickly redeem the prize I want</w:t>
            </w:r>
          </w:p>
        </w:tc>
      </w:tr>
      <w:bookmarkEnd w:id="55"/>
    </w:tbl>
    <w:p w14:paraId="7218C15A" w14:textId="77777777" w:rsidR="004452A0" w:rsidRPr="000E14FC" w:rsidRDefault="004452A0" w:rsidP="004452A0">
      <w:pPr>
        <w:adjustRightInd w:val="0"/>
        <w:snapToGrid w:val="0"/>
        <w:spacing w:after="0" w:line="240" w:lineRule="auto"/>
        <w:jc w:val="both"/>
        <w:rPr>
          <w:sz w:val="20"/>
          <w:szCs w:val="20"/>
        </w:rPr>
      </w:pPr>
    </w:p>
    <w:p w14:paraId="3ABE88F7" w14:textId="77777777" w:rsidR="004452A0" w:rsidRPr="00C70430" w:rsidRDefault="004452A0" w:rsidP="004452A0">
      <w:pPr>
        <w:adjustRightInd w:val="0"/>
        <w:snapToGrid w:val="0"/>
        <w:spacing w:after="0" w:line="240" w:lineRule="auto"/>
        <w:jc w:val="both"/>
        <w:rPr>
          <w:rFonts w:eastAsia="DFKai-SB"/>
          <w:b/>
          <w:sz w:val="20"/>
          <w:szCs w:val="20"/>
        </w:rPr>
      </w:pPr>
      <w:r w:rsidRPr="000E14FC">
        <w:rPr>
          <w:rFonts w:eastAsia="DFKai-SB"/>
          <w:b/>
          <w:sz w:val="20"/>
          <w:szCs w:val="20"/>
        </w:rPr>
        <w:t>P</w:t>
      </w:r>
      <w:r w:rsidRPr="00C70430">
        <w:rPr>
          <w:rFonts w:eastAsia="DFKai-SB"/>
          <w:b/>
          <w:sz w:val="20"/>
          <w:szCs w:val="20"/>
        </w:rPr>
        <w:t xml:space="preserve">rototype </w:t>
      </w:r>
      <w:r w:rsidRPr="00C70430">
        <w:rPr>
          <w:rFonts w:eastAsia="DFKai-SB" w:hint="eastAsia"/>
          <w:b/>
          <w:sz w:val="20"/>
          <w:szCs w:val="20"/>
        </w:rPr>
        <w:t>S</w:t>
      </w:r>
      <w:r w:rsidRPr="00C70430">
        <w:rPr>
          <w:rFonts w:eastAsia="DFKai-SB"/>
          <w:b/>
          <w:sz w:val="20"/>
          <w:szCs w:val="20"/>
        </w:rPr>
        <w:t xml:space="preserve">ystem </w:t>
      </w:r>
      <w:r w:rsidRPr="00C70430">
        <w:rPr>
          <w:rFonts w:eastAsia="DFKai-SB" w:hint="eastAsia"/>
          <w:b/>
          <w:sz w:val="20"/>
          <w:szCs w:val="20"/>
        </w:rPr>
        <w:t>C</w:t>
      </w:r>
      <w:r w:rsidRPr="00C70430">
        <w:rPr>
          <w:rFonts w:eastAsia="DFKai-SB"/>
          <w:b/>
          <w:sz w:val="20"/>
          <w:szCs w:val="20"/>
        </w:rPr>
        <w:t>onstruction</w:t>
      </w:r>
    </w:p>
    <w:p w14:paraId="3A993B88" w14:textId="77777777" w:rsidR="004452A0" w:rsidRDefault="004452A0" w:rsidP="004452A0">
      <w:pPr>
        <w:adjustRightInd w:val="0"/>
        <w:snapToGrid w:val="0"/>
        <w:spacing w:after="0" w:line="240" w:lineRule="auto"/>
        <w:jc w:val="both"/>
        <w:rPr>
          <w:sz w:val="20"/>
          <w:szCs w:val="20"/>
        </w:rPr>
      </w:pPr>
      <w:r w:rsidRPr="00C70430">
        <w:rPr>
          <w:sz w:val="20"/>
          <w:szCs w:val="20"/>
        </w:rPr>
        <w:t xml:space="preserve">We constructed the mail prototype used in the experiment by creating the front end of the mail system using Vue3 and the Element Plus component library. Because the focus of this study is the token incentive mechanism, rather than the technical implementation of the email system, it does not go into technical specifics. Some of the prototype's key processes and pages are depicted below. </w:t>
      </w:r>
      <w:r>
        <w:rPr>
          <w:sz w:val="20"/>
          <w:szCs w:val="20"/>
        </w:rPr>
        <w:t>Since the experiment was conducted in China, the original language of the system interfaces was Chinese. The text in the flowing figures was translated from Chinese using Google Translate.</w:t>
      </w:r>
    </w:p>
    <w:p w14:paraId="238D950B" w14:textId="77777777" w:rsidR="004452A0" w:rsidRDefault="004452A0" w:rsidP="004452A0">
      <w:pPr>
        <w:adjustRightInd w:val="0"/>
        <w:snapToGrid w:val="0"/>
        <w:spacing w:after="0" w:line="240" w:lineRule="auto"/>
        <w:jc w:val="both"/>
        <w:rPr>
          <w:sz w:val="20"/>
          <w:szCs w:val="20"/>
        </w:rPr>
      </w:pPr>
    </w:p>
    <w:p w14:paraId="099B8929" w14:textId="77777777" w:rsidR="004452A0" w:rsidRDefault="004452A0" w:rsidP="004452A0">
      <w:pPr>
        <w:adjustRightInd w:val="0"/>
        <w:snapToGrid w:val="0"/>
        <w:spacing w:after="0" w:line="240" w:lineRule="auto"/>
        <w:jc w:val="both"/>
        <w:rPr>
          <w:sz w:val="20"/>
          <w:szCs w:val="20"/>
          <w:lang w:eastAsia="zh-CN"/>
        </w:rPr>
      </w:pPr>
      <w:r>
        <w:rPr>
          <w:sz w:val="20"/>
          <w:szCs w:val="20"/>
        </w:rPr>
        <w:t>When users enter the prototype, the interface will display an experiment instruction dialog, followed by a token description dialog (Figure 2) if the user is assigned to rewarded groups</w:t>
      </w:r>
      <w:r>
        <w:rPr>
          <w:sz w:val="20"/>
          <w:szCs w:val="20"/>
          <w:lang w:eastAsia="zh-CN"/>
        </w:rPr>
        <w:t xml:space="preserve"> (group 1 and group 2).</w:t>
      </w:r>
    </w:p>
    <w:p w14:paraId="2EE9AC48" w14:textId="77777777" w:rsidR="004452A0" w:rsidRPr="00621163" w:rsidRDefault="004452A0" w:rsidP="004452A0">
      <w:pPr>
        <w:adjustRightInd w:val="0"/>
        <w:snapToGrid w:val="0"/>
        <w:spacing w:after="0" w:line="240" w:lineRule="auto"/>
        <w:jc w:val="both"/>
        <w:rPr>
          <w:sz w:val="20"/>
          <w:szCs w:val="20"/>
          <w:lang w:eastAsia="zh-CN"/>
        </w:rPr>
      </w:pPr>
    </w:p>
    <w:p w14:paraId="55831D72" w14:textId="77777777" w:rsidR="004452A0" w:rsidRDefault="004452A0" w:rsidP="004452A0">
      <w:pPr>
        <w:adjustRightInd w:val="0"/>
        <w:snapToGrid w:val="0"/>
        <w:spacing w:after="0" w:line="240" w:lineRule="auto"/>
        <w:jc w:val="center"/>
        <w:rPr>
          <w:sz w:val="20"/>
          <w:szCs w:val="20"/>
        </w:rPr>
      </w:pPr>
      <w:bookmarkStart w:id="59" w:name="OLE_LINK95"/>
      <w:r>
        <w:rPr>
          <w:noProof/>
          <w:sz w:val="20"/>
          <w:szCs w:val="20"/>
        </w:rPr>
        <w:drawing>
          <wp:inline distT="0" distB="0" distL="0" distR="0" wp14:anchorId="66735EE2" wp14:editId="730BF7CA">
            <wp:extent cx="5486400" cy="300344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3003449"/>
                    </a:xfrm>
                    <a:prstGeom prst="rect">
                      <a:avLst/>
                    </a:prstGeom>
                    <a:noFill/>
                    <a:ln>
                      <a:noFill/>
                    </a:ln>
                  </pic:spPr>
                </pic:pic>
              </a:graphicData>
            </a:graphic>
          </wp:inline>
        </w:drawing>
      </w:r>
    </w:p>
    <w:p w14:paraId="220D8FB5" w14:textId="77777777" w:rsidR="004452A0" w:rsidRDefault="004452A0" w:rsidP="004452A0">
      <w:pPr>
        <w:adjustRightInd w:val="0"/>
        <w:snapToGrid w:val="0"/>
        <w:spacing w:after="0" w:line="240" w:lineRule="auto"/>
        <w:jc w:val="center"/>
        <w:rPr>
          <w:sz w:val="20"/>
          <w:szCs w:val="20"/>
        </w:rPr>
      </w:pPr>
      <w:r w:rsidRPr="000E14FC">
        <w:rPr>
          <w:rFonts w:hint="eastAsia"/>
          <w:sz w:val="20"/>
          <w:szCs w:val="20"/>
        </w:rPr>
        <w:t>F</w:t>
      </w:r>
      <w:r w:rsidRPr="000E14FC">
        <w:rPr>
          <w:sz w:val="20"/>
          <w:szCs w:val="20"/>
        </w:rPr>
        <w:t>igure 2</w:t>
      </w:r>
      <w:r>
        <w:rPr>
          <w:sz w:val="20"/>
          <w:szCs w:val="20"/>
        </w:rPr>
        <w:t>:</w:t>
      </w:r>
      <w:r w:rsidRPr="000E14FC">
        <w:rPr>
          <w:sz w:val="20"/>
          <w:szCs w:val="20"/>
        </w:rPr>
        <w:t xml:space="preserve"> Token description in prototype</w:t>
      </w:r>
    </w:p>
    <w:p w14:paraId="7D4EDECD" w14:textId="77777777" w:rsidR="004452A0" w:rsidRDefault="004452A0" w:rsidP="004452A0">
      <w:pPr>
        <w:adjustRightInd w:val="0"/>
        <w:snapToGrid w:val="0"/>
        <w:spacing w:after="0" w:line="240" w:lineRule="auto"/>
        <w:jc w:val="center"/>
        <w:rPr>
          <w:sz w:val="20"/>
          <w:szCs w:val="20"/>
        </w:rPr>
      </w:pPr>
    </w:p>
    <w:p w14:paraId="55C66CB0" w14:textId="77777777" w:rsidR="004452A0" w:rsidRPr="000D2E0F" w:rsidRDefault="004452A0" w:rsidP="004452A0">
      <w:pPr>
        <w:adjustRightInd w:val="0"/>
        <w:snapToGrid w:val="0"/>
        <w:spacing w:after="0" w:line="240" w:lineRule="auto"/>
        <w:jc w:val="both"/>
        <w:rPr>
          <w:sz w:val="20"/>
          <w:szCs w:val="20"/>
          <w:lang w:eastAsia="zh-CN"/>
        </w:rPr>
      </w:pPr>
      <w:r>
        <w:rPr>
          <w:rFonts w:hint="eastAsia"/>
          <w:sz w:val="20"/>
          <w:szCs w:val="20"/>
          <w:lang w:eastAsia="zh-CN"/>
        </w:rPr>
        <w:t>T</w:t>
      </w:r>
      <w:r>
        <w:rPr>
          <w:sz w:val="20"/>
          <w:szCs w:val="20"/>
          <w:lang w:eastAsia="zh-CN"/>
        </w:rPr>
        <w:t xml:space="preserve">he main page of the prototype system contains the navigation bar on the left, the information bar on the top and the email content on the right. </w:t>
      </w:r>
      <w:r w:rsidRPr="000458AC">
        <w:rPr>
          <w:sz w:val="20"/>
          <w:szCs w:val="20"/>
          <w:lang w:eastAsia="zh-CN"/>
        </w:rPr>
        <w:t xml:space="preserve">Users can go to the inbox, spam, sent, compose, and reporting token interfaces through the navigation bar. </w:t>
      </w:r>
      <w:r>
        <w:rPr>
          <w:sz w:val="20"/>
          <w:szCs w:val="20"/>
          <w:lang w:eastAsia="zh-CN"/>
        </w:rPr>
        <w:t xml:space="preserve"> The information bar shows the brief information of the user and his or her token rewards. The interface of inbox is shown in Figure 3. Other pages expect for the token page are all basic functions of traditional email systems.</w:t>
      </w:r>
    </w:p>
    <w:p w14:paraId="38446C7C" w14:textId="77777777" w:rsidR="004452A0" w:rsidRPr="00691E0E" w:rsidRDefault="004452A0" w:rsidP="004452A0">
      <w:pPr>
        <w:adjustRightInd w:val="0"/>
        <w:snapToGrid w:val="0"/>
        <w:spacing w:after="0" w:line="240" w:lineRule="auto"/>
        <w:rPr>
          <w:sz w:val="20"/>
          <w:szCs w:val="20"/>
        </w:rPr>
      </w:pPr>
    </w:p>
    <w:bookmarkEnd w:id="59"/>
    <w:p w14:paraId="3402B501" w14:textId="77777777" w:rsidR="004452A0" w:rsidRDefault="004452A0" w:rsidP="004452A0">
      <w:pPr>
        <w:adjustRightInd w:val="0"/>
        <w:snapToGrid w:val="0"/>
        <w:spacing w:after="0" w:line="240" w:lineRule="auto"/>
        <w:jc w:val="center"/>
        <w:rPr>
          <w:sz w:val="20"/>
          <w:szCs w:val="20"/>
        </w:rPr>
      </w:pPr>
      <w:r>
        <w:rPr>
          <w:noProof/>
          <w:sz w:val="20"/>
          <w:szCs w:val="20"/>
        </w:rPr>
        <w:lastRenderedPageBreak/>
        <w:drawing>
          <wp:inline distT="0" distB="0" distL="0" distR="0" wp14:anchorId="2D2DEB9B" wp14:editId="55B47073">
            <wp:extent cx="5486400" cy="3003449"/>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3003449"/>
                    </a:xfrm>
                    <a:prstGeom prst="rect">
                      <a:avLst/>
                    </a:prstGeom>
                    <a:noFill/>
                    <a:ln>
                      <a:noFill/>
                    </a:ln>
                  </pic:spPr>
                </pic:pic>
              </a:graphicData>
            </a:graphic>
          </wp:inline>
        </w:drawing>
      </w:r>
    </w:p>
    <w:p w14:paraId="66E6A6AD" w14:textId="77777777" w:rsidR="004452A0" w:rsidRPr="000E14FC" w:rsidRDefault="004452A0" w:rsidP="004452A0">
      <w:pPr>
        <w:adjustRightInd w:val="0"/>
        <w:snapToGrid w:val="0"/>
        <w:spacing w:after="0" w:line="240" w:lineRule="auto"/>
        <w:jc w:val="center"/>
        <w:rPr>
          <w:sz w:val="20"/>
          <w:szCs w:val="20"/>
        </w:rPr>
      </w:pPr>
      <w:r w:rsidRPr="000E14FC">
        <w:rPr>
          <w:rFonts w:hint="eastAsia"/>
          <w:sz w:val="20"/>
          <w:szCs w:val="20"/>
        </w:rPr>
        <w:t>F</w:t>
      </w:r>
      <w:r w:rsidRPr="000E14FC">
        <w:rPr>
          <w:sz w:val="20"/>
          <w:szCs w:val="20"/>
        </w:rPr>
        <w:t xml:space="preserve">igure </w:t>
      </w:r>
      <w:r>
        <w:rPr>
          <w:sz w:val="20"/>
          <w:szCs w:val="20"/>
        </w:rPr>
        <w:t>3:</w:t>
      </w:r>
      <w:r w:rsidRPr="000E14FC">
        <w:rPr>
          <w:sz w:val="20"/>
          <w:szCs w:val="20"/>
        </w:rPr>
        <w:t xml:space="preserve"> Inbox page in prototype</w:t>
      </w:r>
    </w:p>
    <w:p w14:paraId="39952758" w14:textId="77777777" w:rsidR="004452A0" w:rsidRPr="009C4974" w:rsidRDefault="004452A0" w:rsidP="004452A0">
      <w:pPr>
        <w:adjustRightInd w:val="0"/>
        <w:snapToGrid w:val="0"/>
        <w:spacing w:after="0" w:line="240" w:lineRule="auto"/>
        <w:jc w:val="both"/>
        <w:rPr>
          <w:sz w:val="20"/>
          <w:szCs w:val="20"/>
          <w:lang w:eastAsia="zh-CN"/>
        </w:rPr>
      </w:pPr>
    </w:p>
    <w:p w14:paraId="2A133569" w14:textId="77777777" w:rsidR="004452A0" w:rsidRDefault="004452A0" w:rsidP="004452A0">
      <w:pPr>
        <w:adjustRightInd w:val="0"/>
        <w:snapToGrid w:val="0"/>
        <w:spacing w:after="0" w:line="240" w:lineRule="auto"/>
        <w:jc w:val="both"/>
        <w:rPr>
          <w:sz w:val="20"/>
          <w:szCs w:val="20"/>
          <w:lang w:eastAsia="zh-CN"/>
        </w:rPr>
      </w:pPr>
      <w:bookmarkStart w:id="60" w:name="_Hlk114422245"/>
      <w:r>
        <w:rPr>
          <w:sz w:val="20"/>
          <w:szCs w:val="20"/>
          <w:lang w:eastAsia="zh-CN"/>
        </w:rPr>
        <w:t xml:space="preserve">The </w:t>
      </w:r>
      <w:bookmarkStart w:id="61" w:name="OLE_LINK582"/>
      <w:r>
        <w:rPr>
          <w:sz w:val="20"/>
          <w:szCs w:val="20"/>
          <w:lang w:eastAsia="zh-CN"/>
        </w:rPr>
        <w:t>token page for the rewarded groups</w:t>
      </w:r>
      <w:bookmarkEnd w:id="60"/>
      <w:bookmarkEnd w:id="61"/>
      <w:r>
        <w:rPr>
          <w:sz w:val="20"/>
          <w:szCs w:val="20"/>
          <w:lang w:eastAsia="zh-CN"/>
        </w:rPr>
        <w:t xml:space="preserve"> is shown in Figure 4, which was not provided for the non-rewarded group. Users can use the rewarded tokens to redeem benefits in the token page, including premium </w:t>
      </w:r>
      <w:r>
        <w:rPr>
          <w:rFonts w:hint="eastAsia"/>
          <w:sz w:val="20"/>
          <w:szCs w:val="20"/>
          <w:lang w:eastAsia="zh-CN"/>
        </w:rPr>
        <w:t>service</w:t>
      </w:r>
      <w:r>
        <w:rPr>
          <w:sz w:val="20"/>
          <w:szCs w:val="20"/>
          <w:lang w:eastAsia="zh-CN"/>
        </w:rPr>
        <w:t xml:space="preserve"> </w:t>
      </w:r>
      <w:r>
        <w:rPr>
          <w:rFonts w:hint="eastAsia"/>
          <w:sz w:val="20"/>
          <w:szCs w:val="20"/>
          <w:lang w:eastAsia="zh-CN"/>
        </w:rPr>
        <w:t>and</w:t>
      </w:r>
      <w:r>
        <w:rPr>
          <w:sz w:val="20"/>
          <w:szCs w:val="20"/>
          <w:lang w:eastAsia="zh-CN"/>
        </w:rPr>
        <w:t xml:space="preserve"> some other specific products.</w:t>
      </w:r>
    </w:p>
    <w:p w14:paraId="3DF4B9D6" w14:textId="77777777" w:rsidR="004452A0" w:rsidRPr="009C4974" w:rsidRDefault="004452A0" w:rsidP="004452A0">
      <w:pPr>
        <w:adjustRightInd w:val="0"/>
        <w:snapToGrid w:val="0"/>
        <w:spacing w:after="0" w:line="240" w:lineRule="auto"/>
        <w:jc w:val="both"/>
        <w:rPr>
          <w:sz w:val="20"/>
          <w:szCs w:val="20"/>
          <w:lang w:eastAsia="zh-CN"/>
        </w:rPr>
      </w:pPr>
    </w:p>
    <w:p w14:paraId="708A2586" w14:textId="77777777" w:rsidR="004452A0" w:rsidRDefault="004452A0" w:rsidP="004452A0">
      <w:pPr>
        <w:adjustRightInd w:val="0"/>
        <w:snapToGrid w:val="0"/>
        <w:spacing w:after="0" w:line="240" w:lineRule="auto"/>
        <w:jc w:val="center"/>
        <w:rPr>
          <w:sz w:val="20"/>
          <w:szCs w:val="20"/>
        </w:rPr>
      </w:pPr>
      <w:r>
        <w:rPr>
          <w:noProof/>
          <w:sz w:val="20"/>
          <w:szCs w:val="20"/>
        </w:rPr>
        <w:drawing>
          <wp:inline distT="0" distB="0" distL="0" distR="0" wp14:anchorId="064ACF23" wp14:editId="7EF91FA4">
            <wp:extent cx="5487035" cy="3005455"/>
            <wp:effectExtent l="0" t="0" r="0" b="4445"/>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7035" cy="3005455"/>
                    </a:xfrm>
                    <a:prstGeom prst="rect">
                      <a:avLst/>
                    </a:prstGeom>
                    <a:noFill/>
                  </pic:spPr>
                </pic:pic>
              </a:graphicData>
            </a:graphic>
          </wp:inline>
        </w:drawing>
      </w:r>
    </w:p>
    <w:p w14:paraId="7ECE7D43" w14:textId="77777777" w:rsidR="004452A0" w:rsidRDefault="004452A0" w:rsidP="004452A0">
      <w:pPr>
        <w:adjustRightInd w:val="0"/>
        <w:snapToGrid w:val="0"/>
        <w:spacing w:after="0" w:line="240" w:lineRule="auto"/>
        <w:jc w:val="center"/>
        <w:rPr>
          <w:sz w:val="20"/>
          <w:szCs w:val="20"/>
        </w:rPr>
      </w:pPr>
      <w:r w:rsidRPr="000E14FC">
        <w:rPr>
          <w:rFonts w:hint="eastAsia"/>
          <w:sz w:val="20"/>
          <w:szCs w:val="20"/>
        </w:rPr>
        <w:t>F</w:t>
      </w:r>
      <w:r w:rsidRPr="000E14FC">
        <w:rPr>
          <w:sz w:val="20"/>
          <w:szCs w:val="20"/>
        </w:rPr>
        <w:t xml:space="preserve">igure </w:t>
      </w:r>
      <w:r>
        <w:rPr>
          <w:sz w:val="20"/>
          <w:szCs w:val="20"/>
        </w:rPr>
        <w:t>4:</w:t>
      </w:r>
      <w:r w:rsidRPr="000E14FC">
        <w:rPr>
          <w:sz w:val="20"/>
          <w:szCs w:val="20"/>
        </w:rPr>
        <w:t xml:space="preserve"> Token page in prototype</w:t>
      </w:r>
    </w:p>
    <w:p w14:paraId="52A86FA5" w14:textId="77777777" w:rsidR="004452A0" w:rsidRPr="00C250F7" w:rsidRDefault="004452A0" w:rsidP="004452A0">
      <w:pPr>
        <w:jc w:val="center"/>
      </w:pPr>
    </w:p>
    <w:p w14:paraId="22CFF3F8" w14:textId="77777777" w:rsidR="004452A0" w:rsidRDefault="004452A0" w:rsidP="004452A0">
      <w:pPr>
        <w:adjustRightInd w:val="0"/>
        <w:snapToGrid w:val="0"/>
        <w:spacing w:after="0" w:line="240" w:lineRule="auto"/>
        <w:jc w:val="both"/>
        <w:rPr>
          <w:sz w:val="20"/>
          <w:szCs w:val="20"/>
        </w:rPr>
      </w:pPr>
      <w:bookmarkStart w:id="62" w:name="OLE_LINK556"/>
      <w:r w:rsidRPr="00C70430">
        <w:rPr>
          <w:rFonts w:eastAsia="DFKai-SB" w:hint="eastAsia"/>
          <w:b/>
          <w:sz w:val="20"/>
          <w:szCs w:val="20"/>
        </w:rPr>
        <w:t>I</w:t>
      </w:r>
      <w:r w:rsidRPr="00C70430">
        <w:rPr>
          <w:rFonts w:eastAsia="DFKai-SB"/>
          <w:b/>
          <w:sz w:val="20"/>
          <w:szCs w:val="20"/>
        </w:rPr>
        <w:t xml:space="preserve">mplementation </w:t>
      </w:r>
      <w:r w:rsidRPr="00C70430">
        <w:rPr>
          <w:rFonts w:eastAsia="DFKai-SB" w:hint="eastAsia"/>
          <w:b/>
          <w:sz w:val="20"/>
          <w:szCs w:val="20"/>
        </w:rPr>
        <w:t>of</w:t>
      </w:r>
      <w:r w:rsidRPr="00C70430">
        <w:rPr>
          <w:rFonts w:eastAsia="DFKai-SB"/>
          <w:b/>
          <w:sz w:val="20"/>
          <w:szCs w:val="20"/>
        </w:rPr>
        <w:t xml:space="preserve"> </w:t>
      </w:r>
      <w:r w:rsidRPr="00C70430">
        <w:rPr>
          <w:rFonts w:eastAsia="DFKai-SB" w:hint="eastAsia"/>
          <w:b/>
          <w:sz w:val="20"/>
          <w:szCs w:val="20"/>
        </w:rPr>
        <w:t>Experiment</w:t>
      </w:r>
    </w:p>
    <w:p w14:paraId="1ECF4192"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To make the experiment more rigorous, we </w:t>
      </w:r>
      <w:r>
        <w:rPr>
          <w:sz w:val="20"/>
          <w:szCs w:val="20"/>
        </w:rPr>
        <w:t>conducted a pilot study by recruiting</w:t>
      </w:r>
      <w:r w:rsidRPr="00C70430">
        <w:rPr>
          <w:sz w:val="20"/>
          <w:szCs w:val="20"/>
        </w:rPr>
        <w:t xml:space="preserve"> three experimental subjects, and then made focused adjustments on bugs and other problems discovered during the pre-experiment.</w:t>
      </w:r>
    </w:p>
    <w:p w14:paraId="101334AA" w14:textId="77777777" w:rsidR="004452A0" w:rsidRPr="00C70430" w:rsidRDefault="004452A0" w:rsidP="004452A0">
      <w:pPr>
        <w:adjustRightInd w:val="0"/>
        <w:snapToGrid w:val="0"/>
        <w:spacing w:after="0" w:line="240" w:lineRule="auto"/>
        <w:jc w:val="both"/>
        <w:rPr>
          <w:sz w:val="20"/>
          <w:szCs w:val="20"/>
        </w:rPr>
      </w:pPr>
    </w:p>
    <w:p w14:paraId="4BD82131" w14:textId="77777777" w:rsidR="004452A0" w:rsidRPr="000E14FC" w:rsidRDefault="004452A0" w:rsidP="004452A0">
      <w:pPr>
        <w:adjustRightInd w:val="0"/>
        <w:snapToGrid w:val="0"/>
        <w:spacing w:after="0" w:line="240" w:lineRule="auto"/>
        <w:jc w:val="center"/>
        <w:rPr>
          <w:sz w:val="20"/>
          <w:szCs w:val="20"/>
        </w:rPr>
      </w:pPr>
      <w:r w:rsidRPr="000E14FC">
        <w:rPr>
          <w:rFonts w:hint="eastAsia"/>
          <w:sz w:val="20"/>
          <w:szCs w:val="20"/>
        </w:rPr>
        <w:t>T</w:t>
      </w:r>
      <w:r w:rsidRPr="000E14FC">
        <w:rPr>
          <w:sz w:val="20"/>
          <w:szCs w:val="20"/>
        </w:rPr>
        <w:t>able 3</w:t>
      </w:r>
      <w:r>
        <w:rPr>
          <w:sz w:val="20"/>
          <w:szCs w:val="20"/>
        </w:rPr>
        <w:t>:</w:t>
      </w:r>
      <w:r w:rsidRPr="000E14FC">
        <w:rPr>
          <w:rFonts w:hint="eastAsia"/>
          <w:sz w:val="20"/>
          <w:szCs w:val="20"/>
        </w:rPr>
        <w:t xml:space="preserve"> </w:t>
      </w:r>
      <w:r w:rsidRPr="000E14FC">
        <w:rPr>
          <w:sz w:val="20"/>
          <w:szCs w:val="20"/>
        </w:rPr>
        <w:t>Basic characteristics of the subject</w:t>
      </w:r>
    </w:p>
    <w:tbl>
      <w:tblPr>
        <w:tblW w:w="0" w:type="auto"/>
        <w:jc w:val="center"/>
        <w:tblLook w:val="04A0" w:firstRow="1" w:lastRow="0" w:firstColumn="1" w:lastColumn="0" w:noHBand="0" w:noVBand="1"/>
      </w:tblPr>
      <w:tblGrid>
        <w:gridCol w:w="3453"/>
        <w:gridCol w:w="2666"/>
        <w:gridCol w:w="2044"/>
        <w:gridCol w:w="1943"/>
      </w:tblGrid>
      <w:tr w:rsidR="004452A0" w14:paraId="4E5D5801" w14:textId="77777777" w:rsidTr="00F14C04">
        <w:trPr>
          <w:jc w:val="center"/>
        </w:trPr>
        <w:tc>
          <w:tcPr>
            <w:tcW w:w="3453" w:type="dxa"/>
            <w:tcBorders>
              <w:top w:val="single" w:sz="12" w:space="0" w:color="000000"/>
              <w:bottom w:val="single" w:sz="8" w:space="0" w:color="000000"/>
            </w:tcBorders>
            <w:shd w:val="clear" w:color="auto" w:fill="auto"/>
            <w:vAlign w:val="center"/>
          </w:tcPr>
          <w:p w14:paraId="3D7E40EC" w14:textId="77777777" w:rsidR="004452A0" w:rsidRDefault="004452A0" w:rsidP="00F14C04">
            <w:pPr>
              <w:adjustRightInd w:val="0"/>
              <w:snapToGrid w:val="0"/>
              <w:spacing w:after="0" w:line="240" w:lineRule="auto"/>
              <w:jc w:val="center"/>
              <w:rPr>
                <w:sz w:val="20"/>
                <w:szCs w:val="20"/>
              </w:rPr>
            </w:pPr>
            <w:r>
              <w:rPr>
                <w:rFonts w:hint="eastAsia"/>
                <w:sz w:val="20"/>
                <w:szCs w:val="20"/>
              </w:rPr>
              <w:t>C</w:t>
            </w:r>
            <w:r>
              <w:rPr>
                <w:sz w:val="20"/>
                <w:szCs w:val="20"/>
              </w:rPr>
              <w:t>haracteristics</w:t>
            </w:r>
          </w:p>
        </w:tc>
        <w:tc>
          <w:tcPr>
            <w:tcW w:w="2666" w:type="dxa"/>
            <w:tcBorders>
              <w:top w:val="single" w:sz="12" w:space="0" w:color="000000"/>
              <w:bottom w:val="single" w:sz="8" w:space="0" w:color="000000"/>
            </w:tcBorders>
            <w:shd w:val="clear" w:color="auto" w:fill="auto"/>
            <w:vAlign w:val="center"/>
          </w:tcPr>
          <w:p w14:paraId="2F8D7BB2" w14:textId="77777777" w:rsidR="004452A0" w:rsidRDefault="004452A0" w:rsidP="00F14C04">
            <w:pPr>
              <w:adjustRightInd w:val="0"/>
              <w:snapToGrid w:val="0"/>
              <w:spacing w:after="0" w:line="240" w:lineRule="auto"/>
              <w:jc w:val="center"/>
              <w:rPr>
                <w:sz w:val="20"/>
                <w:szCs w:val="20"/>
              </w:rPr>
            </w:pPr>
            <w:r>
              <w:rPr>
                <w:sz w:val="20"/>
                <w:szCs w:val="20"/>
              </w:rPr>
              <w:t>Categories</w:t>
            </w:r>
          </w:p>
        </w:tc>
        <w:tc>
          <w:tcPr>
            <w:tcW w:w="2044" w:type="dxa"/>
            <w:tcBorders>
              <w:top w:val="single" w:sz="12" w:space="0" w:color="000000"/>
              <w:bottom w:val="single" w:sz="8" w:space="0" w:color="000000"/>
            </w:tcBorders>
            <w:shd w:val="clear" w:color="auto" w:fill="auto"/>
            <w:vAlign w:val="center"/>
          </w:tcPr>
          <w:p w14:paraId="61CF2CF6" w14:textId="77777777" w:rsidR="004452A0" w:rsidRDefault="004452A0" w:rsidP="00F14C04">
            <w:pPr>
              <w:adjustRightInd w:val="0"/>
              <w:snapToGrid w:val="0"/>
              <w:spacing w:after="0" w:line="240" w:lineRule="auto"/>
              <w:jc w:val="center"/>
              <w:rPr>
                <w:sz w:val="20"/>
                <w:szCs w:val="20"/>
              </w:rPr>
            </w:pPr>
            <w:r>
              <w:rPr>
                <w:rFonts w:hint="eastAsia"/>
                <w:sz w:val="20"/>
                <w:szCs w:val="20"/>
              </w:rPr>
              <w:t>N</w:t>
            </w:r>
            <w:r>
              <w:rPr>
                <w:sz w:val="20"/>
                <w:szCs w:val="20"/>
              </w:rPr>
              <w:t>umber of Participants</w:t>
            </w:r>
          </w:p>
        </w:tc>
        <w:tc>
          <w:tcPr>
            <w:tcW w:w="1943" w:type="dxa"/>
            <w:tcBorders>
              <w:top w:val="single" w:sz="12" w:space="0" w:color="000000"/>
              <w:bottom w:val="single" w:sz="8" w:space="0" w:color="000000"/>
            </w:tcBorders>
            <w:shd w:val="clear" w:color="auto" w:fill="auto"/>
          </w:tcPr>
          <w:p w14:paraId="63FCB647" w14:textId="77777777" w:rsidR="004452A0" w:rsidRDefault="004452A0" w:rsidP="00F14C04">
            <w:pPr>
              <w:adjustRightInd w:val="0"/>
              <w:snapToGrid w:val="0"/>
              <w:spacing w:after="0" w:line="240" w:lineRule="auto"/>
              <w:jc w:val="center"/>
              <w:rPr>
                <w:sz w:val="20"/>
                <w:szCs w:val="20"/>
              </w:rPr>
            </w:pPr>
            <w:r>
              <w:rPr>
                <w:rFonts w:hint="eastAsia"/>
                <w:sz w:val="20"/>
                <w:szCs w:val="20"/>
              </w:rPr>
              <w:t>Proportion</w:t>
            </w:r>
          </w:p>
          <w:p w14:paraId="70E9A49F" w14:textId="77777777" w:rsidR="004452A0" w:rsidRDefault="004452A0" w:rsidP="00F14C04">
            <w:pPr>
              <w:adjustRightInd w:val="0"/>
              <w:snapToGrid w:val="0"/>
              <w:spacing w:after="0" w:line="240" w:lineRule="auto"/>
              <w:jc w:val="center"/>
              <w:rPr>
                <w:sz w:val="20"/>
                <w:szCs w:val="20"/>
              </w:rPr>
            </w:pPr>
            <w:r>
              <w:rPr>
                <w:sz w:val="20"/>
                <w:szCs w:val="20"/>
              </w:rPr>
              <w:t>（</w:t>
            </w:r>
            <w:r>
              <w:rPr>
                <w:sz w:val="20"/>
                <w:szCs w:val="20"/>
              </w:rPr>
              <w:t>%</w:t>
            </w:r>
            <w:r>
              <w:rPr>
                <w:sz w:val="20"/>
                <w:szCs w:val="20"/>
              </w:rPr>
              <w:t>）</w:t>
            </w:r>
          </w:p>
        </w:tc>
      </w:tr>
      <w:tr w:rsidR="004452A0" w14:paraId="0FCC4FFE" w14:textId="77777777" w:rsidTr="00F14C04">
        <w:trPr>
          <w:jc w:val="center"/>
        </w:trPr>
        <w:tc>
          <w:tcPr>
            <w:tcW w:w="3453" w:type="dxa"/>
            <w:vMerge w:val="restart"/>
            <w:tcBorders>
              <w:top w:val="single" w:sz="8" w:space="0" w:color="000000"/>
            </w:tcBorders>
            <w:shd w:val="clear" w:color="auto" w:fill="auto"/>
            <w:vAlign w:val="center"/>
          </w:tcPr>
          <w:p w14:paraId="6E05FC19" w14:textId="77777777" w:rsidR="004452A0" w:rsidRDefault="004452A0" w:rsidP="00F14C04">
            <w:pPr>
              <w:adjustRightInd w:val="0"/>
              <w:snapToGrid w:val="0"/>
              <w:spacing w:after="0" w:line="240" w:lineRule="auto"/>
              <w:jc w:val="center"/>
              <w:rPr>
                <w:sz w:val="20"/>
                <w:szCs w:val="20"/>
              </w:rPr>
            </w:pPr>
            <w:r>
              <w:rPr>
                <w:rFonts w:hint="eastAsia"/>
                <w:sz w:val="20"/>
                <w:szCs w:val="20"/>
              </w:rPr>
              <w:t>S</w:t>
            </w:r>
            <w:r>
              <w:rPr>
                <w:sz w:val="20"/>
                <w:szCs w:val="20"/>
              </w:rPr>
              <w:t>ex</w:t>
            </w:r>
          </w:p>
        </w:tc>
        <w:tc>
          <w:tcPr>
            <w:tcW w:w="2666" w:type="dxa"/>
            <w:tcBorders>
              <w:top w:val="single" w:sz="8" w:space="0" w:color="000000"/>
            </w:tcBorders>
            <w:shd w:val="clear" w:color="auto" w:fill="auto"/>
            <w:vAlign w:val="center"/>
          </w:tcPr>
          <w:p w14:paraId="76A52DD6" w14:textId="77777777" w:rsidR="004452A0" w:rsidRDefault="004452A0" w:rsidP="00F14C04">
            <w:pPr>
              <w:adjustRightInd w:val="0"/>
              <w:snapToGrid w:val="0"/>
              <w:spacing w:after="0" w:line="240" w:lineRule="auto"/>
              <w:jc w:val="center"/>
              <w:rPr>
                <w:sz w:val="20"/>
                <w:szCs w:val="20"/>
              </w:rPr>
            </w:pPr>
            <w:r>
              <w:rPr>
                <w:rFonts w:hint="eastAsia"/>
                <w:sz w:val="20"/>
                <w:szCs w:val="20"/>
              </w:rPr>
              <w:t>Male</w:t>
            </w:r>
          </w:p>
        </w:tc>
        <w:tc>
          <w:tcPr>
            <w:tcW w:w="2044" w:type="dxa"/>
            <w:tcBorders>
              <w:top w:val="single" w:sz="8" w:space="0" w:color="000000"/>
            </w:tcBorders>
            <w:shd w:val="clear" w:color="auto" w:fill="auto"/>
            <w:vAlign w:val="center"/>
          </w:tcPr>
          <w:p w14:paraId="39DC542B" w14:textId="77777777" w:rsidR="004452A0" w:rsidRDefault="004452A0" w:rsidP="00F14C04">
            <w:pPr>
              <w:adjustRightInd w:val="0"/>
              <w:snapToGrid w:val="0"/>
              <w:spacing w:after="0" w:line="240" w:lineRule="auto"/>
              <w:jc w:val="center"/>
              <w:rPr>
                <w:sz w:val="20"/>
                <w:szCs w:val="20"/>
              </w:rPr>
            </w:pPr>
            <w:r>
              <w:rPr>
                <w:sz w:val="20"/>
                <w:szCs w:val="20"/>
              </w:rPr>
              <w:t>32</w:t>
            </w:r>
          </w:p>
        </w:tc>
        <w:tc>
          <w:tcPr>
            <w:tcW w:w="1943" w:type="dxa"/>
            <w:tcBorders>
              <w:top w:val="single" w:sz="8" w:space="0" w:color="000000"/>
            </w:tcBorders>
            <w:shd w:val="clear" w:color="auto" w:fill="auto"/>
          </w:tcPr>
          <w:p w14:paraId="5495BEFA" w14:textId="77777777" w:rsidR="004452A0" w:rsidRDefault="004452A0" w:rsidP="00F14C04">
            <w:pPr>
              <w:adjustRightInd w:val="0"/>
              <w:snapToGrid w:val="0"/>
              <w:spacing w:after="0" w:line="240" w:lineRule="auto"/>
              <w:jc w:val="center"/>
              <w:rPr>
                <w:sz w:val="20"/>
                <w:szCs w:val="20"/>
              </w:rPr>
            </w:pPr>
            <w:r>
              <w:rPr>
                <w:sz w:val="20"/>
                <w:szCs w:val="20"/>
              </w:rPr>
              <w:t>64.0</w:t>
            </w:r>
          </w:p>
        </w:tc>
      </w:tr>
      <w:tr w:rsidR="004452A0" w14:paraId="317D08F1" w14:textId="77777777" w:rsidTr="00F14C04">
        <w:trPr>
          <w:jc w:val="center"/>
        </w:trPr>
        <w:tc>
          <w:tcPr>
            <w:tcW w:w="3453" w:type="dxa"/>
            <w:vMerge/>
            <w:tcBorders>
              <w:bottom w:val="single" w:sz="8" w:space="0" w:color="000000"/>
            </w:tcBorders>
            <w:shd w:val="clear" w:color="auto" w:fill="auto"/>
            <w:vAlign w:val="center"/>
          </w:tcPr>
          <w:p w14:paraId="2C258E94" w14:textId="77777777" w:rsidR="004452A0" w:rsidRDefault="004452A0" w:rsidP="00F14C04">
            <w:pPr>
              <w:adjustRightInd w:val="0"/>
              <w:snapToGrid w:val="0"/>
              <w:spacing w:after="0" w:line="240" w:lineRule="auto"/>
              <w:jc w:val="center"/>
              <w:rPr>
                <w:sz w:val="20"/>
                <w:szCs w:val="20"/>
              </w:rPr>
            </w:pPr>
          </w:p>
        </w:tc>
        <w:tc>
          <w:tcPr>
            <w:tcW w:w="2666" w:type="dxa"/>
            <w:tcBorders>
              <w:bottom w:val="single" w:sz="8" w:space="0" w:color="000000"/>
            </w:tcBorders>
            <w:shd w:val="clear" w:color="auto" w:fill="auto"/>
            <w:vAlign w:val="center"/>
          </w:tcPr>
          <w:p w14:paraId="37DB8C4C" w14:textId="77777777" w:rsidR="004452A0" w:rsidRDefault="004452A0" w:rsidP="00F14C04">
            <w:pPr>
              <w:adjustRightInd w:val="0"/>
              <w:snapToGrid w:val="0"/>
              <w:spacing w:after="0" w:line="240" w:lineRule="auto"/>
              <w:jc w:val="center"/>
              <w:rPr>
                <w:sz w:val="20"/>
                <w:szCs w:val="20"/>
              </w:rPr>
            </w:pPr>
            <w:r>
              <w:rPr>
                <w:rFonts w:hint="eastAsia"/>
                <w:sz w:val="20"/>
                <w:szCs w:val="20"/>
              </w:rPr>
              <w:t>Female</w:t>
            </w:r>
          </w:p>
        </w:tc>
        <w:tc>
          <w:tcPr>
            <w:tcW w:w="2044" w:type="dxa"/>
            <w:tcBorders>
              <w:bottom w:val="single" w:sz="8" w:space="0" w:color="000000"/>
            </w:tcBorders>
            <w:shd w:val="clear" w:color="auto" w:fill="auto"/>
            <w:vAlign w:val="center"/>
          </w:tcPr>
          <w:p w14:paraId="7CA212DA" w14:textId="77777777" w:rsidR="004452A0" w:rsidRDefault="004452A0" w:rsidP="00F14C04">
            <w:pPr>
              <w:adjustRightInd w:val="0"/>
              <w:snapToGrid w:val="0"/>
              <w:spacing w:after="0" w:line="240" w:lineRule="auto"/>
              <w:jc w:val="center"/>
              <w:rPr>
                <w:sz w:val="20"/>
                <w:szCs w:val="20"/>
              </w:rPr>
            </w:pPr>
            <w:r>
              <w:rPr>
                <w:sz w:val="20"/>
                <w:szCs w:val="20"/>
              </w:rPr>
              <w:t>18</w:t>
            </w:r>
          </w:p>
        </w:tc>
        <w:tc>
          <w:tcPr>
            <w:tcW w:w="1943" w:type="dxa"/>
            <w:tcBorders>
              <w:bottom w:val="single" w:sz="8" w:space="0" w:color="000000"/>
            </w:tcBorders>
            <w:shd w:val="clear" w:color="auto" w:fill="auto"/>
          </w:tcPr>
          <w:p w14:paraId="70BA2DD4" w14:textId="77777777" w:rsidR="004452A0" w:rsidRDefault="004452A0" w:rsidP="00F14C04">
            <w:pPr>
              <w:adjustRightInd w:val="0"/>
              <w:snapToGrid w:val="0"/>
              <w:spacing w:after="0" w:line="240" w:lineRule="auto"/>
              <w:jc w:val="center"/>
              <w:rPr>
                <w:sz w:val="20"/>
                <w:szCs w:val="20"/>
              </w:rPr>
            </w:pPr>
            <w:r>
              <w:rPr>
                <w:sz w:val="20"/>
                <w:szCs w:val="20"/>
              </w:rPr>
              <w:t>36.0</w:t>
            </w:r>
          </w:p>
        </w:tc>
      </w:tr>
      <w:tr w:rsidR="004452A0" w14:paraId="07A0ACCB" w14:textId="77777777" w:rsidTr="00F14C04">
        <w:trPr>
          <w:jc w:val="center"/>
        </w:trPr>
        <w:tc>
          <w:tcPr>
            <w:tcW w:w="3453" w:type="dxa"/>
            <w:vMerge w:val="restart"/>
            <w:tcBorders>
              <w:top w:val="single" w:sz="8" w:space="0" w:color="000000"/>
            </w:tcBorders>
            <w:shd w:val="clear" w:color="auto" w:fill="auto"/>
            <w:vAlign w:val="center"/>
          </w:tcPr>
          <w:p w14:paraId="24CCC0D2" w14:textId="77777777" w:rsidR="004452A0" w:rsidRDefault="004452A0" w:rsidP="00F14C04">
            <w:pPr>
              <w:adjustRightInd w:val="0"/>
              <w:snapToGrid w:val="0"/>
              <w:spacing w:after="0" w:line="240" w:lineRule="auto"/>
              <w:jc w:val="center"/>
              <w:rPr>
                <w:sz w:val="20"/>
                <w:szCs w:val="20"/>
              </w:rPr>
            </w:pPr>
            <w:r>
              <w:rPr>
                <w:rFonts w:hint="eastAsia"/>
                <w:sz w:val="20"/>
                <w:szCs w:val="20"/>
              </w:rPr>
              <w:t>G</w:t>
            </w:r>
            <w:r>
              <w:rPr>
                <w:sz w:val="20"/>
                <w:szCs w:val="20"/>
              </w:rPr>
              <w:t>rade</w:t>
            </w:r>
          </w:p>
        </w:tc>
        <w:tc>
          <w:tcPr>
            <w:tcW w:w="2666" w:type="dxa"/>
            <w:tcBorders>
              <w:top w:val="single" w:sz="8" w:space="0" w:color="000000"/>
            </w:tcBorders>
            <w:shd w:val="clear" w:color="auto" w:fill="auto"/>
            <w:vAlign w:val="center"/>
          </w:tcPr>
          <w:p w14:paraId="5E0E05C3" w14:textId="77777777" w:rsidR="004452A0" w:rsidRDefault="004452A0" w:rsidP="00F14C04">
            <w:pPr>
              <w:adjustRightInd w:val="0"/>
              <w:snapToGrid w:val="0"/>
              <w:spacing w:after="0" w:line="240" w:lineRule="auto"/>
              <w:jc w:val="center"/>
              <w:rPr>
                <w:sz w:val="20"/>
                <w:szCs w:val="20"/>
              </w:rPr>
            </w:pPr>
            <w:r>
              <w:rPr>
                <w:rFonts w:hint="eastAsia"/>
                <w:sz w:val="20"/>
                <w:szCs w:val="20"/>
              </w:rPr>
              <w:t>Freshmen</w:t>
            </w:r>
          </w:p>
        </w:tc>
        <w:tc>
          <w:tcPr>
            <w:tcW w:w="2044" w:type="dxa"/>
            <w:tcBorders>
              <w:top w:val="single" w:sz="8" w:space="0" w:color="000000"/>
            </w:tcBorders>
            <w:shd w:val="clear" w:color="auto" w:fill="auto"/>
            <w:vAlign w:val="center"/>
          </w:tcPr>
          <w:p w14:paraId="5B0002FF" w14:textId="77777777" w:rsidR="004452A0" w:rsidRDefault="004452A0" w:rsidP="00F14C04">
            <w:pPr>
              <w:adjustRightInd w:val="0"/>
              <w:snapToGrid w:val="0"/>
              <w:spacing w:after="0" w:line="240" w:lineRule="auto"/>
              <w:jc w:val="center"/>
              <w:rPr>
                <w:sz w:val="20"/>
                <w:szCs w:val="20"/>
              </w:rPr>
            </w:pPr>
            <w:r>
              <w:rPr>
                <w:sz w:val="20"/>
                <w:szCs w:val="20"/>
              </w:rPr>
              <w:t>6</w:t>
            </w:r>
          </w:p>
        </w:tc>
        <w:tc>
          <w:tcPr>
            <w:tcW w:w="1943" w:type="dxa"/>
            <w:tcBorders>
              <w:top w:val="single" w:sz="8" w:space="0" w:color="000000"/>
            </w:tcBorders>
            <w:shd w:val="clear" w:color="auto" w:fill="auto"/>
          </w:tcPr>
          <w:p w14:paraId="2A7FE5D4" w14:textId="77777777" w:rsidR="004452A0" w:rsidRDefault="004452A0" w:rsidP="00F14C04">
            <w:pPr>
              <w:adjustRightInd w:val="0"/>
              <w:snapToGrid w:val="0"/>
              <w:spacing w:after="0" w:line="240" w:lineRule="auto"/>
              <w:jc w:val="center"/>
              <w:rPr>
                <w:sz w:val="20"/>
                <w:szCs w:val="20"/>
              </w:rPr>
            </w:pPr>
            <w:r>
              <w:rPr>
                <w:sz w:val="20"/>
                <w:szCs w:val="20"/>
              </w:rPr>
              <w:t>12.0</w:t>
            </w:r>
          </w:p>
        </w:tc>
      </w:tr>
      <w:tr w:rsidR="004452A0" w14:paraId="0CC8E68A" w14:textId="77777777" w:rsidTr="00F14C04">
        <w:trPr>
          <w:jc w:val="center"/>
        </w:trPr>
        <w:tc>
          <w:tcPr>
            <w:tcW w:w="3453" w:type="dxa"/>
            <w:vMerge/>
            <w:shd w:val="clear" w:color="auto" w:fill="auto"/>
            <w:vAlign w:val="center"/>
          </w:tcPr>
          <w:p w14:paraId="3A1192C1" w14:textId="77777777" w:rsidR="004452A0" w:rsidRDefault="004452A0" w:rsidP="00F14C04">
            <w:pPr>
              <w:adjustRightInd w:val="0"/>
              <w:snapToGrid w:val="0"/>
              <w:spacing w:after="0" w:line="240" w:lineRule="auto"/>
              <w:jc w:val="center"/>
              <w:rPr>
                <w:sz w:val="20"/>
                <w:szCs w:val="20"/>
              </w:rPr>
            </w:pPr>
          </w:p>
        </w:tc>
        <w:tc>
          <w:tcPr>
            <w:tcW w:w="2666" w:type="dxa"/>
            <w:shd w:val="clear" w:color="auto" w:fill="auto"/>
            <w:vAlign w:val="center"/>
          </w:tcPr>
          <w:p w14:paraId="4F37D9FE" w14:textId="77777777" w:rsidR="004452A0" w:rsidRDefault="004452A0" w:rsidP="00F14C04">
            <w:pPr>
              <w:adjustRightInd w:val="0"/>
              <w:snapToGrid w:val="0"/>
              <w:spacing w:after="0" w:line="240" w:lineRule="auto"/>
              <w:jc w:val="center"/>
              <w:rPr>
                <w:sz w:val="20"/>
                <w:szCs w:val="20"/>
              </w:rPr>
            </w:pPr>
            <w:r>
              <w:rPr>
                <w:rFonts w:hint="eastAsia"/>
                <w:sz w:val="20"/>
                <w:szCs w:val="20"/>
              </w:rPr>
              <w:t>Sophomore</w:t>
            </w:r>
          </w:p>
        </w:tc>
        <w:tc>
          <w:tcPr>
            <w:tcW w:w="2044" w:type="dxa"/>
            <w:shd w:val="clear" w:color="auto" w:fill="auto"/>
            <w:vAlign w:val="center"/>
          </w:tcPr>
          <w:p w14:paraId="2CB2C3FC" w14:textId="77777777" w:rsidR="004452A0" w:rsidRDefault="004452A0" w:rsidP="00F14C04">
            <w:pPr>
              <w:adjustRightInd w:val="0"/>
              <w:snapToGrid w:val="0"/>
              <w:spacing w:after="0" w:line="240" w:lineRule="auto"/>
              <w:jc w:val="center"/>
              <w:rPr>
                <w:sz w:val="20"/>
                <w:szCs w:val="20"/>
              </w:rPr>
            </w:pPr>
            <w:r>
              <w:rPr>
                <w:sz w:val="20"/>
                <w:szCs w:val="20"/>
              </w:rPr>
              <w:t>9</w:t>
            </w:r>
          </w:p>
        </w:tc>
        <w:tc>
          <w:tcPr>
            <w:tcW w:w="1943" w:type="dxa"/>
            <w:shd w:val="clear" w:color="auto" w:fill="auto"/>
          </w:tcPr>
          <w:p w14:paraId="611564CD" w14:textId="77777777" w:rsidR="004452A0" w:rsidRDefault="004452A0" w:rsidP="00F14C04">
            <w:pPr>
              <w:adjustRightInd w:val="0"/>
              <w:snapToGrid w:val="0"/>
              <w:spacing w:after="0" w:line="240" w:lineRule="auto"/>
              <w:jc w:val="center"/>
              <w:rPr>
                <w:sz w:val="20"/>
                <w:szCs w:val="20"/>
              </w:rPr>
            </w:pPr>
            <w:r>
              <w:rPr>
                <w:sz w:val="20"/>
                <w:szCs w:val="20"/>
              </w:rPr>
              <w:t>18.0</w:t>
            </w:r>
          </w:p>
        </w:tc>
      </w:tr>
      <w:tr w:rsidR="004452A0" w14:paraId="700EB5C9" w14:textId="77777777" w:rsidTr="00F14C04">
        <w:trPr>
          <w:jc w:val="center"/>
        </w:trPr>
        <w:tc>
          <w:tcPr>
            <w:tcW w:w="3453" w:type="dxa"/>
            <w:vMerge/>
            <w:shd w:val="clear" w:color="auto" w:fill="auto"/>
            <w:vAlign w:val="center"/>
          </w:tcPr>
          <w:p w14:paraId="1240FC59" w14:textId="77777777" w:rsidR="004452A0" w:rsidRDefault="004452A0" w:rsidP="00F14C04">
            <w:pPr>
              <w:adjustRightInd w:val="0"/>
              <w:snapToGrid w:val="0"/>
              <w:spacing w:after="0" w:line="240" w:lineRule="auto"/>
              <w:jc w:val="center"/>
              <w:rPr>
                <w:sz w:val="20"/>
                <w:szCs w:val="20"/>
              </w:rPr>
            </w:pPr>
          </w:p>
        </w:tc>
        <w:tc>
          <w:tcPr>
            <w:tcW w:w="2666" w:type="dxa"/>
            <w:shd w:val="clear" w:color="auto" w:fill="auto"/>
            <w:vAlign w:val="center"/>
          </w:tcPr>
          <w:p w14:paraId="621DAF5B" w14:textId="77777777" w:rsidR="004452A0" w:rsidRDefault="004452A0" w:rsidP="00F14C04">
            <w:pPr>
              <w:adjustRightInd w:val="0"/>
              <w:snapToGrid w:val="0"/>
              <w:spacing w:after="0" w:line="240" w:lineRule="auto"/>
              <w:jc w:val="center"/>
              <w:rPr>
                <w:sz w:val="20"/>
                <w:szCs w:val="20"/>
              </w:rPr>
            </w:pPr>
            <w:r>
              <w:rPr>
                <w:rFonts w:hint="eastAsia"/>
                <w:sz w:val="20"/>
                <w:szCs w:val="20"/>
              </w:rPr>
              <w:t>Junior</w:t>
            </w:r>
          </w:p>
        </w:tc>
        <w:tc>
          <w:tcPr>
            <w:tcW w:w="2044" w:type="dxa"/>
            <w:shd w:val="clear" w:color="auto" w:fill="auto"/>
            <w:vAlign w:val="center"/>
          </w:tcPr>
          <w:p w14:paraId="27DD2BC6" w14:textId="77777777" w:rsidR="004452A0" w:rsidRDefault="004452A0" w:rsidP="00F14C04">
            <w:pPr>
              <w:adjustRightInd w:val="0"/>
              <w:snapToGrid w:val="0"/>
              <w:spacing w:after="0" w:line="240" w:lineRule="auto"/>
              <w:jc w:val="center"/>
              <w:rPr>
                <w:sz w:val="20"/>
                <w:szCs w:val="20"/>
              </w:rPr>
            </w:pPr>
            <w:r>
              <w:rPr>
                <w:sz w:val="20"/>
                <w:szCs w:val="20"/>
              </w:rPr>
              <w:t>16</w:t>
            </w:r>
          </w:p>
        </w:tc>
        <w:tc>
          <w:tcPr>
            <w:tcW w:w="1943" w:type="dxa"/>
            <w:shd w:val="clear" w:color="auto" w:fill="auto"/>
          </w:tcPr>
          <w:p w14:paraId="6AE50C1D" w14:textId="77777777" w:rsidR="004452A0" w:rsidRDefault="004452A0" w:rsidP="00F14C04">
            <w:pPr>
              <w:adjustRightInd w:val="0"/>
              <w:snapToGrid w:val="0"/>
              <w:spacing w:after="0" w:line="240" w:lineRule="auto"/>
              <w:jc w:val="center"/>
              <w:rPr>
                <w:sz w:val="20"/>
                <w:szCs w:val="20"/>
              </w:rPr>
            </w:pPr>
            <w:r>
              <w:rPr>
                <w:sz w:val="20"/>
                <w:szCs w:val="20"/>
              </w:rPr>
              <w:t>32.0</w:t>
            </w:r>
          </w:p>
        </w:tc>
      </w:tr>
      <w:tr w:rsidR="004452A0" w14:paraId="2AF54E22" w14:textId="77777777" w:rsidTr="00F14C04">
        <w:trPr>
          <w:jc w:val="center"/>
        </w:trPr>
        <w:tc>
          <w:tcPr>
            <w:tcW w:w="3453" w:type="dxa"/>
            <w:vMerge/>
            <w:tcBorders>
              <w:bottom w:val="single" w:sz="12" w:space="0" w:color="000000"/>
            </w:tcBorders>
            <w:shd w:val="clear" w:color="auto" w:fill="auto"/>
            <w:vAlign w:val="center"/>
          </w:tcPr>
          <w:p w14:paraId="7F60C698" w14:textId="77777777" w:rsidR="004452A0" w:rsidRDefault="004452A0" w:rsidP="00F14C04">
            <w:pPr>
              <w:adjustRightInd w:val="0"/>
              <w:snapToGrid w:val="0"/>
              <w:spacing w:after="0" w:line="240" w:lineRule="auto"/>
              <w:jc w:val="center"/>
              <w:rPr>
                <w:sz w:val="20"/>
                <w:szCs w:val="20"/>
              </w:rPr>
            </w:pPr>
          </w:p>
        </w:tc>
        <w:tc>
          <w:tcPr>
            <w:tcW w:w="2666" w:type="dxa"/>
            <w:tcBorders>
              <w:bottom w:val="single" w:sz="12" w:space="0" w:color="000000"/>
            </w:tcBorders>
            <w:shd w:val="clear" w:color="auto" w:fill="auto"/>
            <w:vAlign w:val="center"/>
          </w:tcPr>
          <w:p w14:paraId="3EAFA8AF" w14:textId="77777777" w:rsidR="004452A0" w:rsidRDefault="004452A0" w:rsidP="00F14C04">
            <w:pPr>
              <w:adjustRightInd w:val="0"/>
              <w:snapToGrid w:val="0"/>
              <w:spacing w:after="0" w:line="240" w:lineRule="auto"/>
              <w:jc w:val="center"/>
              <w:rPr>
                <w:sz w:val="20"/>
                <w:szCs w:val="20"/>
              </w:rPr>
            </w:pPr>
            <w:r>
              <w:rPr>
                <w:rFonts w:hint="eastAsia"/>
                <w:sz w:val="20"/>
                <w:szCs w:val="20"/>
              </w:rPr>
              <w:t>Senior</w:t>
            </w:r>
          </w:p>
        </w:tc>
        <w:tc>
          <w:tcPr>
            <w:tcW w:w="2044" w:type="dxa"/>
            <w:tcBorders>
              <w:bottom w:val="single" w:sz="12" w:space="0" w:color="000000"/>
            </w:tcBorders>
            <w:shd w:val="clear" w:color="auto" w:fill="auto"/>
            <w:vAlign w:val="center"/>
          </w:tcPr>
          <w:p w14:paraId="73E717F7" w14:textId="77777777" w:rsidR="004452A0" w:rsidRDefault="004452A0" w:rsidP="00F14C04">
            <w:pPr>
              <w:adjustRightInd w:val="0"/>
              <w:snapToGrid w:val="0"/>
              <w:spacing w:after="0" w:line="240" w:lineRule="auto"/>
              <w:jc w:val="center"/>
              <w:rPr>
                <w:sz w:val="20"/>
                <w:szCs w:val="20"/>
              </w:rPr>
            </w:pPr>
            <w:r>
              <w:rPr>
                <w:sz w:val="20"/>
                <w:szCs w:val="20"/>
              </w:rPr>
              <w:t>19</w:t>
            </w:r>
          </w:p>
        </w:tc>
        <w:tc>
          <w:tcPr>
            <w:tcW w:w="1943" w:type="dxa"/>
            <w:tcBorders>
              <w:bottom w:val="single" w:sz="12" w:space="0" w:color="000000"/>
            </w:tcBorders>
            <w:shd w:val="clear" w:color="auto" w:fill="auto"/>
          </w:tcPr>
          <w:p w14:paraId="038F4922" w14:textId="77777777" w:rsidR="004452A0" w:rsidRDefault="004452A0" w:rsidP="00F14C04">
            <w:pPr>
              <w:adjustRightInd w:val="0"/>
              <w:snapToGrid w:val="0"/>
              <w:spacing w:after="0" w:line="240" w:lineRule="auto"/>
              <w:jc w:val="center"/>
              <w:rPr>
                <w:sz w:val="20"/>
                <w:szCs w:val="20"/>
              </w:rPr>
            </w:pPr>
            <w:r>
              <w:rPr>
                <w:sz w:val="20"/>
                <w:szCs w:val="20"/>
              </w:rPr>
              <w:t>38.0</w:t>
            </w:r>
          </w:p>
        </w:tc>
      </w:tr>
    </w:tbl>
    <w:p w14:paraId="1FC32B58" w14:textId="77777777" w:rsidR="004452A0" w:rsidRPr="009C4765" w:rsidRDefault="004452A0" w:rsidP="004452A0">
      <w:pPr>
        <w:adjustRightInd w:val="0"/>
        <w:snapToGrid w:val="0"/>
        <w:spacing w:after="0" w:line="240" w:lineRule="auto"/>
        <w:jc w:val="both"/>
        <w:rPr>
          <w:sz w:val="20"/>
          <w:szCs w:val="20"/>
        </w:rPr>
      </w:pPr>
      <w:r>
        <w:rPr>
          <w:rFonts w:eastAsiaTheme="minorEastAsia"/>
          <w:sz w:val="20"/>
          <w:szCs w:val="20"/>
          <w:lang w:eastAsia="zh-CN"/>
        </w:rPr>
        <w:lastRenderedPageBreak/>
        <w:t xml:space="preserve">After the pilot study, </w:t>
      </w:r>
      <w:r w:rsidRPr="00C70430">
        <w:rPr>
          <w:sz w:val="20"/>
          <w:szCs w:val="20"/>
        </w:rPr>
        <w:t>53 undergraduates participated in the formal experiment and completed the questionnaire</w:t>
      </w:r>
      <w:r>
        <w:rPr>
          <w:sz w:val="20"/>
          <w:szCs w:val="20"/>
        </w:rPr>
        <w:t>s</w:t>
      </w:r>
      <w:r w:rsidRPr="00C70430">
        <w:rPr>
          <w:sz w:val="20"/>
          <w:szCs w:val="20"/>
        </w:rPr>
        <w:t xml:space="preserve">. After removing three anomalous results, 50 valid </w:t>
      </w:r>
      <w:r>
        <w:rPr>
          <w:sz w:val="20"/>
          <w:szCs w:val="20"/>
        </w:rPr>
        <w:t>records</w:t>
      </w:r>
      <w:r w:rsidRPr="00C70430">
        <w:rPr>
          <w:sz w:val="20"/>
          <w:szCs w:val="20"/>
        </w:rPr>
        <w:t xml:space="preserve"> were obtained, with 17 in experimental group 1, 18 in experimental group 2, and 15 in experimental group 3. Table 3 shows the </w:t>
      </w:r>
      <w:r>
        <w:rPr>
          <w:sz w:val="20"/>
          <w:szCs w:val="20"/>
        </w:rPr>
        <w:t>demographics</w:t>
      </w:r>
      <w:r w:rsidRPr="00C70430">
        <w:rPr>
          <w:sz w:val="20"/>
          <w:szCs w:val="20"/>
        </w:rPr>
        <w:t xml:space="preserve"> of the experimental subjects. The distribution of participants among the three randomly assigned experimental groups was </w:t>
      </w:r>
      <w:r>
        <w:rPr>
          <w:sz w:val="20"/>
          <w:szCs w:val="20"/>
        </w:rPr>
        <w:t>relatively</w:t>
      </w:r>
      <w:r w:rsidRPr="00C70430">
        <w:rPr>
          <w:sz w:val="20"/>
          <w:szCs w:val="20"/>
        </w:rPr>
        <w:t xml:space="preserve"> balanced, and the findings of </w:t>
      </w:r>
      <w:bookmarkStart w:id="63" w:name="OLE_LINK6"/>
      <w:r w:rsidRPr="00C70430">
        <w:rPr>
          <w:sz w:val="20"/>
          <w:szCs w:val="20"/>
        </w:rPr>
        <w:t>one-way ANOVA</w:t>
      </w:r>
      <w:bookmarkEnd w:id="63"/>
      <w:r w:rsidRPr="00C70430">
        <w:rPr>
          <w:sz w:val="20"/>
          <w:szCs w:val="20"/>
        </w:rPr>
        <w:t xml:space="preserve"> revealed no significant difference between gender and grade among the three groups.</w:t>
      </w:r>
      <w:r w:rsidDel="001C7369">
        <w:rPr>
          <w:sz w:val="20"/>
          <w:szCs w:val="20"/>
        </w:rPr>
        <w:t xml:space="preserve"> </w:t>
      </w:r>
    </w:p>
    <w:p w14:paraId="1D62A344" w14:textId="77777777" w:rsidR="004452A0" w:rsidRPr="00C70430" w:rsidRDefault="004452A0" w:rsidP="004452A0">
      <w:pPr>
        <w:adjustRightInd w:val="0"/>
        <w:snapToGrid w:val="0"/>
        <w:spacing w:after="0" w:line="240" w:lineRule="auto"/>
        <w:jc w:val="both"/>
        <w:rPr>
          <w:rFonts w:eastAsia="DFKai-SB"/>
          <w:b/>
          <w:sz w:val="20"/>
          <w:szCs w:val="20"/>
        </w:rPr>
      </w:pPr>
      <w:bookmarkStart w:id="64" w:name="OLE_LINK555"/>
      <w:r w:rsidRPr="00C70430">
        <w:rPr>
          <w:rFonts w:eastAsia="DFKai-SB" w:hint="eastAsia"/>
          <w:b/>
          <w:sz w:val="20"/>
          <w:szCs w:val="20"/>
        </w:rPr>
        <w:t>Results</w:t>
      </w:r>
      <w:r w:rsidRPr="00C70430">
        <w:rPr>
          <w:rFonts w:eastAsia="DFKai-SB"/>
          <w:b/>
          <w:sz w:val="20"/>
          <w:szCs w:val="20"/>
        </w:rPr>
        <w:t xml:space="preserve"> </w:t>
      </w:r>
      <w:bookmarkStart w:id="65" w:name="_Hlk113278647"/>
      <w:r>
        <w:rPr>
          <w:rFonts w:eastAsia="DFKai-SB"/>
          <w:b/>
          <w:sz w:val="20"/>
          <w:szCs w:val="20"/>
        </w:rPr>
        <w:t>a</w:t>
      </w:r>
      <w:r w:rsidRPr="00C70430">
        <w:rPr>
          <w:rFonts w:eastAsia="DFKai-SB" w:hint="eastAsia"/>
          <w:b/>
          <w:sz w:val="20"/>
          <w:szCs w:val="20"/>
        </w:rPr>
        <w:t>nd</w:t>
      </w:r>
      <w:r w:rsidRPr="00C70430">
        <w:rPr>
          <w:rFonts w:eastAsia="DFKai-SB"/>
          <w:b/>
          <w:sz w:val="20"/>
          <w:szCs w:val="20"/>
        </w:rPr>
        <w:t xml:space="preserve"> </w:t>
      </w:r>
      <w:r w:rsidRPr="00C70430">
        <w:rPr>
          <w:rFonts w:eastAsia="DFKai-SB" w:hint="eastAsia"/>
          <w:b/>
          <w:sz w:val="20"/>
          <w:szCs w:val="20"/>
        </w:rPr>
        <w:t>Analysis</w:t>
      </w:r>
      <w:bookmarkEnd w:id="65"/>
    </w:p>
    <w:bookmarkEnd w:id="64"/>
    <w:p w14:paraId="6C1E2870" w14:textId="77777777" w:rsidR="004452A0" w:rsidRPr="00C70430" w:rsidRDefault="004452A0" w:rsidP="004452A0">
      <w:pPr>
        <w:adjustRightInd w:val="0"/>
        <w:snapToGrid w:val="0"/>
        <w:spacing w:after="0" w:line="240" w:lineRule="auto"/>
        <w:jc w:val="both"/>
        <w:rPr>
          <w:sz w:val="20"/>
          <w:szCs w:val="20"/>
        </w:rPr>
      </w:pPr>
    </w:p>
    <w:p w14:paraId="5C024E7E" w14:textId="77777777" w:rsidR="004452A0" w:rsidRPr="000E14FC" w:rsidRDefault="004452A0" w:rsidP="004452A0">
      <w:pPr>
        <w:adjustRightInd w:val="0"/>
        <w:snapToGrid w:val="0"/>
        <w:spacing w:after="0" w:line="240" w:lineRule="auto"/>
        <w:jc w:val="center"/>
        <w:rPr>
          <w:sz w:val="20"/>
          <w:szCs w:val="20"/>
        </w:rPr>
      </w:pPr>
      <w:r w:rsidRPr="000E14FC">
        <w:rPr>
          <w:sz w:val="20"/>
          <w:szCs w:val="20"/>
        </w:rPr>
        <w:t>Table 4</w:t>
      </w:r>
      <w:r>
        <w:rPr>
          <w:sz w:val="20"/>
          <w:szCs w:val="20"/>
        </w:rPr>
        <w:t>:</w:t>
      </w:r>
      <w:r w:rsidRPr="000E14FC">
        <w:rPr>
          <w:sz w:val="20"/>
          <w:szCs w:val="20"/>
        </w:rPr>
        <w:t xml:space="preserve"> </w:t>
      </w:r>
      <w:r>
        <w:rPr>
          <w:sz w:val="20"/>
          <w:szCs w:val="20"/>
        </w:rPr>
        <w:t>Results</w:t>
      </w:r>
      <w:r w:rsidRPr="000E14FC">
        <w:rPr>
          <w:sz w:val="20"/>
          <w:szCs w:val="20"/>
        </w:rPr>
        <w:t xml:space="preserve"> of </w:t>
      </w:r>
      <w:r>
        <w:rPr>
          <w:sz w:val="20"/>
          <w:szCs w:val="20"/>
        </w:rPr>
        <w:t>the Experiment</w:t>
      </w:r>
    </w:p>
    <w:tbl>
      <w:tblPr>
        <w:tblW w:w="0" w:type="auto"/>
        <w:jc w:val="center"/>
        <w:tblLook w:val="04A0" w:firstRow="1" w:lastRow="0" w:firstColumn="1" w:lastColumn="0" w:noHBand="0" w:noVBand="1"/>
      </w:tblPr>
      <w:tblGrid>
        <w:gridCol w:w="1263"/>
        <w:gridCol w:w="2533"/>
        <w:gridCol w:w="1961"/>
        <w:gridCol w:w="2238"/>
        <w:gridCol w:w="2210"/>
      </w:tblGrid>
      <w:tr w:rsidR="004452A0" w14:paraId="26086C7A" w14:textId="77777777" w:rsidTr="00F14C04">
        <w:trPr>
          <w:jc w:val="center"/>
        </w:trPr>
        <w:tc>
          <w:tcPr>
            <w:tcW w:w="1276" w:type="dxa"/>
            <w:tcBorders>
              <w:top w:val="single" w:sz="12" w:space="0" w:color="000000"/>
              <w:bottom w:val="single" w:sz="8" w:space="0" w:color="000000"/>
            </w:tcBorders>
            <w:shd w:val="clear" w:color="auto" w:fill="auto"/>
            <w:vAlign w:val="center"/>
          </w:tcPr>
          <w:p w14:paraId="5F8A10B6" w14:textId="77777777" w:rsidR="004452A0" w:rsidRDefault="004452A0" w:rsidP="00F14C04">
            <w:pPr>
              <w:adjustRightInd w:val="0"/>
              <w:snapToGrid w:val="0"/>
              <w:spacing w:after="0" w:line="240" w:lineRule="auto"/>
              <w:jc w:val="center"/>
              <w:rPr>
                <w:sz w:val="20"/>
                <w:szCs w:val="20"/>
              </w:rPr>
            </w:pPr>
            <w:r>
              <w:rPr>
                <w:rFonts w:hint="eastAsia"/>
                <w:sz w:val="20"/>
                <w:szCs w:val="20"/>
              </w:rPr>
              <w:t>Group</w:t>
            </w:r>
          </w:p>
        </w:tc>
        <w:tc>
          <w:tcPr>
            <w:tcW w:w="2552" w:type="dxa"/>
            <w:tcBorders>
              <w:top w:val="single" w:sz="12" w:space="0" w:color="000000"/>
              <w:bottom w:val="single" w:sz="8" w:space="0" w:color="000000"/>
            </w:tcBorders>
            <w:shd w:val="clear" w:color="auto" w:fill="auto"/>
            <w:vAlign w:val="center"/>
          </w:tcPr>
          <w:p w14:paraId="4EB00742" w14:textId="77777777" w:rsidR="004452A0" w:rsidRDefault="004452A0" w:rsidP="00F14C04">
            <w:pPr>
              <w:adjustRightInd w:val="0"/>
              <w:snapToGrid w:val="0"/>
              <w:spacing w:after="0" w:line="240" w:lineRule="auto"/>
              <w:jc w:val="center"/>
              <w:rPr>
                <w:sz w:val="20"/>
                <w:szCs w:val="20"/>
              </w:rPr>
            </w:pPr>
            <w:r>
              <w:rPr>
                <w:rFonts w:hint="eastAsia"/>
                <w:sz w:val="20"/>
                <w:szCs w:val="20"/>
              </w:rPr>
              <w:t>Incentive</w:t>
            </w:r>
            <w:r>
              <w:rPr>
                <w:sz w:val="20"/>
                <w:szCs w:val="20"/>
              </w:rPr>
              <w:t xml:space="preserve"> </w:t>
            </w:r>
            <w:r>
              <w:rPr>
                <w:rFonts w:hint="eastAsia"/>
                <w:sz w:val="20"/>
                <w:szCs w:val="20"/>
              </w:rPr>
              <w:t>Quantity</w:t>
            </w:r>
            <w:r>
              <w:rPr>
                <w:rFonts w:hint="eastAsia"/>
                <w:sz w:val="20"/>
                <w:szCs w:val="20"/>
              </w:rPr>
              <w:t>（</w:t>
            </w:r>
            <w:bookmarkStart w:id="66" w:name="OLE_LINK586"/>
            <w:bookmarkStart w:id="67" w:name="OLE_LINK587"/>
            <w:r>
              <w:rPr>
                <w:rFonts w:hint="eastAsia"/>
                <w:sz w:val="20"/>
                <w:szCs w:val="20"/>
              </w:rPr>
              <w:t>Tokens</w:t>
            </w:r>
            <w:r>
              <w:rPr>
                <w:sz w:val="20"/>
                <w:szCs w:val="20"/>
              </w:rPr>
              <w:t>/</w:t>
            </w:r>
            <w:r>
              <w:rPr>
                <w:rFonts w:hint="eastAsia"/>
                <w:sz w:val="20"/>
                <w:szCs w:val="20"/>
              </w:rPr>
              <w:t>Spam</w:t>
            </w:r>
            <w:bookmarkEnd w:id="66"/>
            <w:bookmarkEnd w:id="67"/>
            <w:r>
              <w:rPr>
                <w:rFonts w:hint="eastAsia"/>
                <w:sz w:val="20"/>
                <w:szCs w:val="20"/>
              </w:rPr>
              <w:t>）</w:t>
            </w:r>
          </w:p>
        </w:tc>
        <w:tc>
          <w:tcPr>
            <w:tcW w:w="1984" w:type="dxa"/>
            <w:tcBorders>
              <w:top w:val="single" w:sz="12" w:space="0" w:color="000000"/>
              <w:bottom w:val="single" w:sz="8" w:space="0" w:color="000000"/>
            </w:tcBorders>
            <w:shd w:val="clear" w:color="auto" w:fill="auto"/>
            <w:vAlign w:val="center"/>
          </w:tcPr>
          <w:p w14:paraId="52135374" w14:textId="77777777" w:rsidR="004452A0" w:rsidRDefault="004452A0" w:rsidP="00F14C04">
            <w:pPr>
              <w:adjustRightInd w:val="0"/>
              <w:snapToGrid w:val="0"/>
              <w:spacing w:after="0" w:line="240" w:lineRule="auto"/>
              <w:jc w:val="center"/>
              <w:rPr>
                <w:sz w:val="20"/>
                <w:szCs w:val="20"/>
              </w:rPr>
            </w:pPr>
            <w:r>
              <w:rPr>
                <w:rFonts w:hint="eastAsia"/>
                <w:sz w:val="20"/>
                <w:szCs w:val="20"/>
              </w:rPr>
              <w:t>Average</w:t>
            </w:r>
            <w:r>
              <w:rPr>
                <w:sz w:val="20"/>
                <w:szCs w:val="20"/>
              </w:rPr>
              <w:t xml:space="preserve"> </w:t>
            </w:r>
            <w:r>
              <w:rPr>
                <w:rFonts w:hint="eastAsia"/>
                <w:sz w:val="20"/>
                <w:szCs w:val="20"/>
              </w:rPr>
              <w:t>Score</w:t>
            </w:r>
            <w:r>
              <w:rPr>
                <w:sz w:val="20"/>
                <w:szCs w:val="20"/>
              </w:rPr>
              <w:t xml:space="preserve"> </w:t>
            </w:r>
            <w:r>
              <w:rPr>
                <w:rFonts w:hint="eastAsia"/>
                <w:sz w:val="20"/>
                <w:szCs w:val="20"/>
              </w:rPr>
              <w:t>of</w:t>
            </w:r>
            <w:r>
              <w:rPr>
                <w:sz w:val="20"/>
                <w:szCs w:val="20"/>
              </w:rPr>
              <w:t xml:space="preserve"> </w:t>
            </w:r>
            <w:r>
              <w:rPr>
                <w:rFonts w:hint="eastAsia"/>
                <w:sz w:val="20"/>
                <w:szCs w:val="20"/>
              </w:rPr>
              <w:t>the</w:t>
            </w:r>
            <w:r>
              <w:rPr>
                <w:sz w:val="20"/>
                <w:szCs w:val="20"/>
              </w:rPr>
              <w:t xml:space="preserve"> Perceived Incentive Strength</w:t>
            </w:r>
          </w:p>
        </w:tc>
        <w:tc>
          <w:tcPr>
            <w:tcW w:w="2268" w:type="dxa"/>
            <w:tcBorders>
              <w:top w:val="single" w:sz="12" w:space="0" w:color="000000"/>
              <w:bottom w:val="single" w:sz="8" w:space="0" w:color="000000"/>
            </w:tcBorders>
            <w:shd w:val="clear" w:color="auto" w:fill="auto"/>
            <w:vAlign w:val="center"/>
          </w:tcPr>
          <w:p w14:paraId="4A75793C" w14:textId="77777777" w:rsidR="004452A0" w:rsidRDefault="004452A0" w:rsidP="00F14C04">
            <w:pPr>
              <w:adjustRightInd w:val="0"/>
              <w:snapToGrid w:val="0"/>
              <w:spacing w:after="0" w:line="240" w:lineRule="auto"/>
              <w:jc w:val="center"/>
              <w:rPr>
                <w:sz w:val="20"/>
                <w:szCs w:val="20"/>
              </w:rPr>
            </w:pPr>
            <w:bookmarkStart w:id="68" w:name="OLE_LINK12"/>
            <w:r>
              <w:rPr>
                <w:rFonts w:hint="eastAsia"/>
                <w:sz w:val="20"/>
                <w:szCs w:val="20"/>
              </w:rPr>
              <w:t xml:space="preserve">Average </w:t>
            </w:r>
            <w:r>
              <w:rPr>
                <w:sz w:val="20"/>
                <w:szCs w:val="20"/>
              </w:rPr>
              <w:t>N</w:t>
            </w:r>
            <w:r>
              <w:rPr>
                <w:rFonts w:hint="eastAsia"/>
                <w:sz w:val="20"/>
                <w:szCs w:val="20"/>
              </w:rPr>
              <w:t xml:space="preserve">umber of </w:t>
            </w:r>
            <w:r>
              <w:rPr>
                <w:sz w:val="20"/>
                <w:szCs w:val="20"/>
              </w:rPr>
              <w:t>Spams</w:t>
            </w:r>
            <w:r>
              <w:rPr>
                <w:rFonts w:hint="eastAsia"/>
                <w:sz w:val="20"/>
                <w:szCs w:val="20"/>
              </w:rPr>
              <w:t xml:space="preserve"> </w:t>
            </w:r>
            <w:r>
              <w:rPr>
                <w:sz w:val="20"/>
                <w:szCs w:val="20"/>
              </w:rPr>
              <w:t>Reported</w:t>
            </w:r>
            <w:bookmarkEnd w:id="68"/>
          </w:p>
        </w:tc>
        <w:tc>
          <w:tcPr>
            <w:tcW w:w="2236" w:type="dxa"/>
            <w:tcBorders>
              <w:top w:val="single" w:sz="12" w:space="0" w:color="000000"/>
              <w:bottom w:val="single" w:sz="8" w:space="0" w:color="000000"/>
            </w:tcBorders>
            <w:shd w:val="clear" w:color="auto" w:fill="auto"/>
            <w:vAlign w:val="center"/>
          </w:tcPr>
          <w:p w14:paraId="17B8C273" w14:textId="77777777" w:rsidR="004452A0" w:rsidRDefault="004452A0" w:rsidP="00F14C04">
            <w:pPr>
              <w:adjustRightInd w:val="0"/>
              <w:snapToGrid w:val="0"/>
              <w:spacing w:after="0" w:line="240" w:lineRule="auto"/>
              <w:jc w:val="center"/>
              <w:rPr>
                <w:sz w:val="20"/>
                <w:szCs w:val="20"/>
              </w:rPr>
            </w:pPr>
            <w:r>
              <w:rPr>
                <w:rFonts w:hint="eastAsia"/>
                <w:sz w:val="20"/>
                <w:szCs w:val="20"/>
              </w:rPr>
              <w:t xml:space="preserve">Average </w:t>
            </w:r>
            <w:r>
              <w:rPr>
                <w:sz w:val="20"/>
                <w:szCs w:val="20"/>
              </w:rPr>
              <w:t>P</w:t>
            </w:r>
            <w:r>
              <w:rPr>
                <w:rFonts w:hint="eastAsia"/>
                <w:sz w:val="20"/>
                <w:szCs w:val="20"/>
              </w:rPr>
              <w:t xml:space="preserve">robability of </w:t>
            </w:r>
            <w:r>
              <w:rPr>
                <w:sz w:val="20"/>
                <w:szCs w:val="20"/>
              </w:rPr>
              <w:t>R</w:t>
            </w:r>
            <w:r>
              <w:rPr>
                <w:rFonts w:hint="eastAsia"/>
                <w:sz w:val="20"/>
                <w:szCs w:val="20"/>
              </w:rPr>
              <w:t>eporti</w:t>
            </w:r>
            <w:r>
              <w:rPr>
                <w:sz w:val="20"/>
                <w:szCs w:val="20"/>
              </w:rPr>
              <w:t>ng Spam</w:t>
            </w:r>
            <w:r>
              <w:rPr>
                <w:rFonts w:hint="eastAsia"/>
                <w:sz w:val="20"/>
                <w:szCs w:val="20"/>
              </w:rPr>
              <w:t>（</w:t>
            </w:r>
            <w:r>
              <w:rPr>
                <w:rFonts w:hint="eastAsia"/>
                <w:sz w:val="20"/>
                <w:szCs w:val="20"/>
              </w:rPr>
              <w:t>%</w:t>
            </w:r>
            <w:r>
              <w:rPr>
                <w:rFonts w:hint="eastAsia"/>
                <w:sz w:val="20"/>
                <w:szCs w:val="20"/>
              </w:rPr>
              <w:t>）</w:t>
            </w:r>
          </w:p>
        </w:tc>
      </w:tr>
      <w:tr w:rsidR="004452A0" w14:paraId="5F6B71BC" w14:textId="77777777" w:rsidTr="00F14C04">
        <w:trPr>
          <w:jc w:val="center"/>
        </w:trPr>
        <w:tc>
          <w:tcPr>
            <w:tcW w:w="1276" w:type="dxa"/>
            <w:tcBorders>
              <w:top w:val="single" w:sz="8" w:space="0" w:color="000000"/>
            </w:tcBorders>
            <w:shd w:val="clear" w:color="auto" w:fill="auto"/>
            <w:vAlign w:val="center"/>
          </w:tcPr>
          <w:p w14:paraId="2C364EBA" w14:textId="77777777" w:rsidR="004452A0" w:rsidRDefault="004452A0" w:rsidP="00F14C04">
            <w:pPr>
              <w:adjustRightInd w:val="0"/>
              <w:snapToGrid w:val="0"/>
              <w:spacing w:after="0" w:line="240" w:lineRule="auto"/>
              <w:jc w:val="center"/>
              <w:rPr>
                <w:sz w:val="20"/>
                <w:szCs w:val="20"/>
              </w:rPr>
            </w:pPr>
            <w:r>
              <w:rPr>
                <w:rFonts w:hint="eastAsia"/>
                <w:sz w:val="20"/>
                <w:szCs w:val="20"/>
              </w:rPr>
              <w:t>1</w:t>
            </w:r>
          </w:p>
        </w:tc>
        <w:tc>
          <w:tcPr>
            <w:tcW w:w="2552" w:type="dxa"/>
            <w:tcBorders>
              <w:top w:val="single" w:sz="8" w:space="0" w:color="000000"/>
            </w:tcBorders>
            <w:shd w:val="clear" w:color="auto" w:fill="auto"/>
            <w:vAlign w:val="center"/>
          </w:tcPr>
          <w:p w14:paraId="3A76F735" w14:textId="77777777" w:rsidR="004452A0" w:rsidRDefault="004452A0" w:rsidP="00F14C04">
            <w:pPr>
              <w:adjustRightInd w:val="0"/>
              <w:snapToGrid w:val="0"/>
              <w:spacing w:after="0" w:line="240" w:lineRule="auto"/>
              <w:jc w:val="center"/>
              <w:rPr>
                <w:sz w:val="20"/>
                <w:szCs w:val="20"/>
              </w:rPr>
            </w:pPr>
            <w:r>
              <w:rPr>
                <w:sz w:val="20"/>
                <w:szCs w:val="20"/>
              </w:rPr>
              <w:t>5</w:t>
            </w:r>
          </w:p>
        </w:tc>
        <w:tc>
          <w:tcPr>
            <w:tcW w:w="1984" w:type="dxa"/>
            <w:tcBorders>
              <w:top w:val="single" w:sz="8" w:space="0" w:color="000000"/>
            </w:tcBorders>
            <w:shd w:val="clear" w:color="auto" w:fill="auto"/>
            <w:vAlign w:val="center"/>
          </w:tcPr>
          <w:p w14:paraId="00F68A98" w14:textId="77777777" w:rsidR="004452A0" w:rsidRDefault="004452A0" w:rsidP="00F14C04">
            <w:pPr>
              <w:adjustRightInd w:val="0"/>
              <w:snapToGrid w:val="0"/>
              <w:spacing w:after="0" w:line="240" w:lineRule="auto"/>
              <w:jc w:val="center"/>
              <w:rPr>
                <w:sz w:val="20"/>
                <w:szCs w:val="20"/>
              </w:rPr>
            </w:pPr>
            <w:r>
              <w:rPr>
                <w:rFonts w:hint="eastAsia"/>
                <w:sz w:val="20"/>
                <w:szCs w:val="20"/>
              </w:rPr>
              <w:t>3</w:t>
            </w:r>
            <w:r>
              <w:rPr>
                <w:sz w:val="20"/>
                <w:szCs w:val="20"/>
              </w:rPr>
              <w:t>.78</w:t>
            </w:r>
          </w:p>
        </w:tc>
        <w:tc>
          <w:tcPr>
            <w:tcW w:w="2268" w:type="dxa"/>
            <w:tcBorders>
              <w:top w:val="single" w:sz="8" w:space="0" w:color="000000"/>
            </w:tcBorders>
            <w:shd w:val="clear" w:color="auto" w:fill="auto"/>
            <w:vAlign w:val="center"/>
          </w:tcPr>
          <w:p w14:paraId="0D2F90A2" w14:textId="77777777" w:rsidR="004452A0" w:rsidRDefault="004452A0" w:rsidP="00F14C04">
            <w:pPr>
              <w:adjustRightInd w:val="0"/>
              <w:snapToGrid w:val="0"/>
              <w:spacing w:after="0" w:line="240" w:lineRule="auto"/>
              <w:jc w:val="center"/>
              <w:rPr>
                <w:sz w:val="20"/>
                <w:szCs w:val="20"/>
              </w:rPr>
            </w:pPr>
            <w:r>
              <w:rPr>
                <w:sz w:val="20"/>
                <w:szCs w:val="20"/>
              </w:rPr>
              <w:t>2.54</w:t>
            </w:r>
          </w:p>
        </w:tc>
        <w:tc>
          <w:tcPr>
            <w:tcW w:w="2236" w:type="dxa"/>
            <w:tcBorders>
              <w:top w:val="single" w:sz="8" w:space="0" w:color="000000"/>
            </w:tcBorders>
            <w:shd w:val="clear" w:color="auto" w:fill="auto"/>
            <w:vAlign w:val="center"/>
          </w:tcPr>
          <w:p w14:paraId="74CC5F28" w14:textId="77777777" w:rsidR="004452A0" w:rsidRDefault="004452A0" w:rsidP="00F14C04">
            <w:pPr>
              <w:adjustRightInd w:val="0"/>
              <w:snapToGrid w:val="0"/>
              <w:spacing w:after="0" w:line="240" w:lineRule="auto"/>
              <w:jc w:val="center"/>
              <w:rPr>
                <w:sz w:val="20"/>
                <w:szCs w:val="20"/>
              </w:rPr>
            </w:pPr>
            <w:r>
              <w:rPr>
                <w:sz w:val="20"/>
                <w:szCs w:val="20"/>
              </w:rPr>
              <w:t>63.5</w:t>
            </w:r>
          </w:p>
        </w:tc>
      </w:tr>
      <w:tr w:rsidR="004452A0" w14:paraId="0BCC5416" w14:textId="77777777" w:rsidTr="00F14C04">
        <w:trPr>
          <w:jc w:val="center"/>
        </w:trPr>
        <w:tc>
          <w:tcPr>
            <w:tcW w:w="1276" w:type="dxa"/>
            <w:shd w:val="clear" w:color="auto" w:fill="auto"/>
            <w:vAlign w:val="center"/>
          </w:tcPr>
          <w:p w14:paraId="37F7269E" w14:textId="77777777" w:rsidR="004452A0" w:rsidRDefault="004452A0" w:rsidP="00F14C04">
            <w:pPr>
              <w:adjustRightInd w:val="0"/>
              <w:snapToGrid w:val="0"/>
              <w:spacing w:after="0" w:line="240" w:lineRule="auto"/>
              <w:jc w:val="center"/>
              <w:rPr>
                <w:sz w:val="20"/>
                <w:szCs w:val="20"/>
              </w:rPr>
            </w:pPr>
            <w:r>
              <w:rPr>
                <w:rFonts w:hint="eastAsia"/>
                <w:sz w:val="20"/>
                <w:szCs w:val="20"/>
              </w:rPr>
              <w:t>2</w:t>
            </w:r>
          </w:p>
        </w:tc>
        <w:tc>
          <w:tcPr>
            <w:tcW w:w="2552" w:type="dxa"/>
            <w:shd w:val="clear" w:color="auto" w:fill="auto"/>
            <w:vAlign w:val="center"/>
          </w:tcPr>
          <w:p w14:paraId="1F9155C4" w14:textId="77777777" w:rsidR="004452A0" w:rsidRDefault="004452A0" w:rsidP="00F14C04">
            <w:pPr>
              <w:adjustRightInd w:val="0"/>
              <w:snapToGrid w:val="0"/>
              <w:spacing w:after="0" w:line="240" w:lineRule="auto"/>
              <w:jc w:val="center"/>
              <w:rPr>
                <w:sz w:val="20"/>
                <w:szCs w:val="20"/>
              </w:rPr>
            </w:pPr>
            <w:r>
              <w:rPr>
                <w:rFonts w:hint="eastAsia"/>
                <w:sz w:val="20"/>
                <w:szCs w:val="20"/>
              </w:rPr>
              <w:t>1</w:t>
            </w:r>
          </w:p>
        </w:tc>
        <w:tc>
          <w:tcPr>
            <w:tcW w:w="1984" w:type="dxa"/>
            <w:shd w:val="clear" w:color="auto" w:fill="auto"/>
            <w:vAlign w:val="center"/>
          </w:tcPr>
          <w:p w14:paraId="2593F5EE" w14:textId="77777777" w:rsidR="004452A0" w:rsidRDefault="004452A0" w:rsidP="00F14C04">
            <w:pPr>
              <w:adjustRightInd w:val="0"/>
              <w:snapToGrid w:val="0"/>
              <w:spacing w:after="0" w:line="240" w:lineRule="auto"/>
              <w:jc w:val="center"/>
              <w:rPr>
                <w:sz w:val="20"/>
                <w:szCs w:val="20"/>
              </w:rPr>
            </w:pPr>
            <w:r>
              <w:rPr>
                <w:rFonts w:hint="eastAsia"/>
                <w:sz w:val="20"/>
                <w:szCs w:val="20"/>
              </w:rPr>
              <w:t>4</w:t>
            </w:r>
            <w:r>
              <w:rPr>
                <w:sz w:val="20"/>
                <w:szCs w:val="20"/>
              </w:rPr>
              <w:t>.06</w:t>
            </w:r>
          </w:p>
        </w:tc>
        <w:tc>
          <w:tcPr>
            <w:tcW w:w="2268" w:type="dxa"/>
            <w:shd w:val="clear" w:color="auto" w:fill="auto"/>
            <w:vAlign w:val="center"/>
          </w:tcPr>
          <w:p w14:paraId="384E6801" w14:textId="77777777" w:rsidR="004452A0" w:rsidRDefault="004452A0" w:rsidP="00F14C04">
            <w:pPr>
              <w:adjustRightInd w:val="0"/>
              <w:snapToGrid w:val="0"/>
              <w:spacing w:after="0" w:line="240" w:lineRule="auto"/>
              <w:jc w:val="center"/>
              <w:rPr>
                <w:sz w:val="20"/>
                <w:szCs w:val="20"/>
              </w:rPr>
            </w:pPr>
            <w:r>
              <w:rPr>
                <w:sz w:val="20"/>
                <w:szCs w:val="20"/>
              </w:rPr>
              <w:t>2.69</w:t>
            </w:r>
          </w:p>
        </w:tc>
        <w:tc>
          <w:tcPr>
            <w:tcW w:w="2236" w:type="dxa"/>
            <w:shd w:val="clear" w:color="auto" w:fill="auto"/>
            <w:vAlign w:val="center"/>
          </w:tcPr>
          <w:p w14:paraId="32F8BF36" w14:textId="77777777" w:rsidR="004452A0" w:rsidRDefault="004452A0" w:rsidP="00F14C04">
            <w:pPr>
              <w:adjustRightInd w:val="0"/>
              <w:snapToGrid w:val="0"/>
              <w:spacing w:after="0" w:line="240" w:lineRule="auto"/>
              <w:jc w:val="center"/>
              <w:rPr>
                <w:sz w:val="20"/>
                <w:szCs w:val="20"/>
              </w:rPr>
            </w:pPr>
            <w:r>
              <w:rPr>
                <w:sz w:val="20"/>
                <w:szCs w:val="20"/>
              </w:rPr>
              <w:t>67.3</w:t>
            </w:r>
          </w:p>
        </w:tc>
      </w:tr>
      <w:tr w:rsidR="004452A0" w14:paraId="0CC796E7" w14:textId="77777777" w:rsidTr="00F14C04">
        <w:trPr>
          <w:jc w:val="center"/>
        </w:trPr>
        <w:tc>
          <w:tcPr>
            <w:tcW w:w="1276" w:type="dxa"/>
            <w:tcBorders>
              <w:bottom w:val="single" w:sz="12" w:space="0" w:color="000000"/>
            </w:tcBorders>
            <w:shd w:val="clear" w:color="auto" w:fill="auto"/>
            <w:vAlign w:val="center"/>
          </w:tcPr>
          <w:p w14:paraId="38C27ED3" w14:textId="77777777" w:rsidR="004452A0" w:rsidRDefault="004452A0" w:rsidP="00F14C04">
            <w:pPr>
              <w:adjustRightInd w:val="0"/>
              <w:snapToGrid w:val="0"/>
              <w:spacing w:after="0" w:line="240" w:lineRule="auto"/>
              <w:jc w:val="center"/>
              <w:rPr>
                <w:sz w:val="20"/>
                <w:szCs w:val="20"/>
              </w:rPr>
            </w:pPr>
            <w:r>
              <w:rPr>
                <w:rFonts w:hint="eastAsia"/>
                <w:sz w:val="20"/>
                <w:szCs w:val="20"/>
              </w:rPr>
              <w:t>3</w:t>
            </w:r>
          </w:p>
        </w:tc>
        <w:tc>
          <w:tcPr>
            <w:tcW w:w="2552" w:type="dxa"/>
            <w:tcBorders>
              <w:bottom w:val="single" w:sz="12" w:space="0" w:color="000000"/>
            </w:tcBorders>
            <w:shd w:val="clear" w:color="auto" w:fill="auto"/>
            <w:vAlign w:val="center"/>
          </w:tcPr>
          <w:p w14:paraId="18882C49" w14:textId="77777777" w:rsidR="004452A0" w:rsidRDefault="004452A0" w:rsidP="00F14C04">
            <w:pPr>
              <w:adjustRightInd w:val="0"/>
              <w:snapToGrid w:val="0"/>
              <w:spacing w:after="0" w:line="240" w:lineRule="auto"/>
              <w:jc w:val="center"/>
              <w:rPr>
                <w:sz w:val="20"/>
                <w:szCs w:val="20"/>
              </w:rPr>
            </w:pPr>
            <w:r>
              <w:rPr>
                <w:rFonts w:hint="eastAsia"/>
                <w:sz w:val="20"/>
                <w:szCs w:val="20"/>
              </w:rPr>
              <w:t>0</w:t>
            </w:r>
          </w:p>
        </w:tc>
        <w:tc>
          <w:tcPr>
            <w:tcW w:w="1984" w:type="dxa"/>
            <w:tcBorders>
              <w:bottom w:val="single" w:sz="12" w:space="0" w:color="000000"/>
            </w:tcBorders>
            <w:shd w:val="clear" w:color="auto" w:fill="auto"/>
            <w:vAlign w:val="center"/>
          </w:tcPr>
          <w:p w14:paraId="3B17B8DF" w14:textId="77777777" w:rsidR="004452A0" w:rsidRDefault="004452A0" w:rsidP="00F14C04">
            <w:pPr>
              <w:adjustRightInd w:val="0"/>
              <w:snapToGrid w:val="0"/>
              <w:spacing w:after="0" w:line="240" w:lineRule="auto"/>
              <w:jc w:val="center"/>
              <w:rPr>
                <w:sz w:val="20"/>
                <w:szCs w:val="20"/>
              </w:rPr>
            </w:pPr>
            <w:r>
              <w:rPr>
                <w:rFonts w:hint="eastAsia"/>
                <w:sz w:val="20"/>
                <w:szCs w:val="20"/>
              </w:rPr>
              <w:t>/</w:t>
            </w:r>
          </w:p>
        </w:tc>
        <w:tc>
          <w:tcPr>
            <w:tcW w:w="2268" w:type="dxa"/>
            <w:tcBorders>
              <w:bottom w:val="single" w:sz="12" w:space="0" w:color="000000"/>
            </w:tcBorders>
            <w:shd w:val="clear" w:color="auto" w:fill="auto"/>
            <w:vAlign w:val="center"/>
          </w:tcPr>
          <w:p w14:paraId="181C2060" w14:textId="77777777" w:rsidR="004452A0" w:rsidRDefault="004452A0" w:rsidP="00F14C04">
            <w:pPr>
              <w:adjustRightInd w:val="0"/>
              <w:snapToGrid w:val="0"/>
              <w:spacing w:after="0" w:line="240" w:lineRule="auto"/>
              <w:jc w:val="center"/>
              <w:rPr>
                <w:sz w:val="20"/>
                <w:szCs w:val="20"/>
              </w:rPr>
            </w:pPr>
            <w:r>
              <w:rPr>
                <w:sz w:val="20"/>
                <w:szCs w:val="20"/>
              </w:rPr>
              <w:t>1.12</w:t>
            </w:r>
          </w:p>
        </w:tc>
        <w:tc>
          <w:tcPr>
            <w:tcW w:w="2236" w:type="dxa"/>
            <w:tcBorders>
              <w:bottom w:val="single" w:sz="12" w:space="0" w:color="000000"/>
            </w:tcBorders>
            <w:shd w:val="clear" w:color="auto" w:fill="auto"/>
            <w:vAlign w:val="center"/>
          </w:tcPr>
          <w:p w14:paraId="0A12C2CB" w14:textId="77777777" w:rsidR="004452A0" w:rsidRDefault="004452A0" w:rsidP="00F14C04">
            <w:pPr>
              <w:adjustRightInd w:val="0"/>
              <w:snapToGrid w:val="0"/>
              <w:spacing w:after="0" w:line="240" w:lineRule="auto"/>
              <w:jc w:val="center"/>
              <w:rPr>
                <w:sz w:val="20"/>
                <w:szCs w:val="20"/>
              </w:rPr>
            </w:pPr>
            <w:r>
              <w:rPr>
                <w:sz w:val="20"/>
                <w:szCs w:val="20"/>
              </w:rPr>
              <w:t>25.0</w:t>
            </w:r>
          </w:p>
        </w:tc>
      </w:tr>
    </w:tbl>
    <w:p w14:paraId="5FF4D563" w14:textId="77777777" w:rsidR="004452A0" w:rsidRPr="00C70430" w:rsidRDefault="004452A0" w:rsidP="004452A0">
      <w:pPr>
        <w:adjustRightInd w:val="0"/>
        <w:snapToGrid w:val="0"/>
        <w:spacing w:after="0" w:line="240" w:lineRule="auto"/>
        <w:jc w:val="both"/>
        <w:rPr>
          <w:sz w:val="20"/>
          <w:szCs w:val="20"/>
        </w:rPr>
      </w:pPr>
    </w:p>
    <w:p w14:paraId="4EAB1D04" w14:textId="77777777" w:rsidR="004452A0" w:rsidRPr="00C70430" w:rsidRDefault="004452A0" w:rsidP="004452A0">
      <w:pPr>
        <w:adjustRightInd w:val="0"/>
        <w:snapToGrid w:val="0"/>
        <w:spacing w:after="0" w:line="240" w:lineRule="auto"/>
        <w:jc w:val="both"/>
        <w:rPr>
          <w:sz w:val="20"/>
          <w:szCs w:val="20"/>
        </w:rPr>
      </w:pPr>
      <w:r w:rsidRPr="00C70430">
        <w:rPr>
          <w:sz w:val="20"/>
          <w:szCs w:val="20"/>
        </w:rPr>
        <w:t>The</w:t>
      </w:r>
      <w:r>
        <w:rPr>
          <w:sz w:val="20"/>
          <w:szCs w:val="20"/>
        </w:rPr>
        <w:t xml:space="preserve"> experiment results</w:t>
      </w:r>
      <w:r w:rsidRPr="00C70430">
        <w:rPr>
          <w:sz w:val="20"/>
          <w:szCs w:val="20"/>
        </w:rPr>
        <w:t xml:space="preserve"> </w:t>
      </w:r>
      <w:r>
        <w:rPr>
          <w:sz w:val="20"/>
          <w:szCs w:val="20"/>
        </w:rPr>
        <w:t>for</w:t>
      </w:r>
      <w:r w:rsidRPr="00C70430">
        <w:rPr>
          <w:sz w:val="20"/>
          <w:szCs w:val="20"/>
        </w:rPr>
        <w:t xml:space="preserve"> the three experimental groups with </w:t>
      </w:r>
      <w:r>
        <w:rPr>
          <w:sz w:val="20"/>
          <w:szCs w:val="20"/>
        </w:rPr>
        <w:t>varying</w:t>
      </w:r>
      <w:r w:rsidRPr="00C70430">
        <w:rPr>
          <w:sz w:val="20"/>
          <w:szCs w:val="20"/>
        </w:rPr>
        <w:t xml:space="preserve"> </w:t>
      </w:r>
      <w:r>
        <w:rPr>
          <w:sz w:val="20"/>
          <w:szCs w:val="20"/>
        </w:rPr>
        <w:t>reward levels are</w:t>
      </w:r>
      <w:r w:rsidRPr="00C70430">
        <w:rPr>
          <w:sz w:val="20"/>
          <w:szCs w:val="20"/>
        </w:rPr>
        <w:t xml:space="preserve"> shown in </w:t>
      </w:r>
      <w:r w:rsidRPr="00C70430">
        <w:rPr>
          <w:rFonts w:hint="eastAsia"/>
          <w:sz w:val="20"/>
          <w:szCs w:val="20"/>
        </w:rPr>
        <w:t>T</w:t>
      </w:r>
      <w:r w:rsidRPr="00C70430">
        <w:rPr>
          <w:sz w:val="20"/>
          <w:szCs w:val="20"/>
        </w:rPr>
        <w:t>able 4.</w:t>
      </w:r>
      <w:r>
        <w:rPr>
          <w:sz w:val="20"/>
          <w:szCs w:val="20"/>
        </w:rPr>
        <w:t xml:space="preserve"> The results of the two rewarded groups were significantly different from those of the control group. Specifically, one-way ANOVA revealed significant differences between groups in the quantity of spams reported (p = 0.016 &lt; 0.05)</w:t>
      </w:r>
      <w:r>
        <w:rPr>
          <w:sz w:val="20"/>
          <w:szCs w:val="20"/>
          <w:lang w:eastAsia="zh-CN"/>
        </w:rPr>
        <w:t xml:space="preserve">. </w:t>
      </w:r>
      <w:r w:rsidRPr="00C70430">
        <w:rPr>
          <w:sz w:val="20"/>
          <w:szCs w:val="20"/>
        </w:rPr>
        <w:t xml:space="preserve">In terms of absolute numbers, </w:t>
      </w:r>
      <w:r>
        <w:rPr>
          <w:sz w:val="20"/>
          <w:szCs w:val="20"/>
        </w:rPr>
        <w:t>rewarded</w:t>
      </w:r>
      <w:r w:rsidRPr="00C70430">
        <w:rPr>
          <w:sz w:val="20"/>
          <w:szCs w:val="20"/>
        </w:rPr>
        <w:t xml:space="preserve"> users in the two groups reported 2.5</w:t>
      </w:r>
      <w:r>
        <w:rPr>
          <w:sz w:val="20"/>
          <w:szCs w:val="20"/>
        </w:rPr>
        <w:t>4</w:t>
      </w:r>
      <w:r w:rsidRPr="00C70430">
        <w:rPr>
          <w:sz w:val="20"/>
          <w:szCs w:val="20"/>
        </w:rPr>
        <w:t xml:space="preserve"> </w:t>
      </w:r>
      <w:r w:rsidRPr="00A41F63">
        <w:rPr>
          <w:sz w:val="20"/>
          <w:szCs w:val="20"/>
        </w:rPr>
        <w:t>incorrectly filtered</w:t>
      </w:r>
      <w:r w:rsidRPr="00C70430">
        <w:rPr>
          <w:sz w:val="20"/>
          <w:szCs w:val="20"/>
        </w:rPr>
        <w:t xml:space="preserve"> emails on average, </w:t>
      </w:r>
      <w:r>
        <w:rPr>
          <w:sz w:val="20"/>
          <w:szCs w:val="20"/>
        </w:rPr>
        <w:t>but</w:t>
      </w:r>
      <w:r w:rsidRPr="00C70430">
        <w:rPr>
          <w:sz w:val="20"/>
          <w:szCs w:val="20"/>
        </w:rPr>
        <w:t xml:space="preserve"> non-</w:t>
      </w:r>
      <w:r>
        <w:rPr>
          <w:sz w:val="20"/>
          <w:szCs w:val="20"/>
        </w:rPr>
        <w:t>rewarded</w:t>
      </w:r>
      <w:r w:rsidRPr="00C70430">
        <w:rPr>
          <w:sz w:val="20"/>
          <w:szCs w:val="20"/>
        </w:rPr>
        <w:t xml:space="preserve"> users reported only 1.12 emails. In terms of probability, </w:t>
      </w:r>
      <w:r>
        <w:rPr>
          <w:sz w:val="20"/>
          <w:szCs w:val="20"/>
        </w:rPr>
        <w:t xml:space="preserve">the probabilities of reporting for </w:t>
      </w:r>
      <w:r w:rsidRPr="00C70430">
        <w:rPr>
          <w:sz w:val="20"/>
          <w:szCs w:val="20"/>
        </w:rPr>
        <w:t xml:space="preserve">the two groups of </w:t>
      </w:r>
      <w:r>
        <w:rPr>
          <w:sz w:val="20"/>
          <w:szCs w:val="20"/>
        </w:rPr>
        <w:t>rewarded</w:t>
      </w:r>
      <w:r w:rsidRPr="00C70430">
        <w:rPr>
          <w:sz w:val="20"/>
          <w:szCs w:val="20"/>
        </w:rPr>
        <w:t xml:space="preserve"> users</w:t>
      </w:r>
      <w:r>
        <w:rPr>
          <w:sz w:val="20"/>
          <w:szCs w:val="20"/>
        </w:rPr>
        <w:t xml:space="preserve"> are higher </w:t>
      </w:r>
      <w:r w:rsidRPr="00C70430">
        <w:rPr>
          <w:sz w:val="20"/>
          <w:szCs w:val="20"/>
        </w:rPr>
        <w:t xml:space="preserve">than 60%, </w:t>
      </w:r>
      <w:r>
        <w:rPr>
          <w:sz w:val="20"/>
          <w:szCs w:val="20"/>
        </w:rPr>
        <w:t>but just 25% for the non-rewarded</w:t>
      </w:r>
      <w:r w:rsidRPr="00C70430">
        <w:rPr>
          <w:sz w:val="20"/>
          <w:szCs w:val="20"/>
        </w:rPr>
        <w:t xml:space="preserve"> users. </w:t>
      </w:r>
      <w:r>
        <w:rPr>
          <w:sz w:val="20"/>
          <w:szCs w:val="20"/>
        </w:rPr>
        <w:t>According to the results of the experiment, the incentive mechanism increased the likelihood of users’ reporting spam by more than 1.4 times. The findings reveal that the proposed design has a substantial incentive effect.</w:t>
      </w:r>
    </w:p>
    <w:bookmarkEnd w:id="62"/>
    <w:p w14:paraId="15850B6E" w14:textId="77777777" w:rsidR="004452A0" w:rsidRPr="00C70430" w:rsidRDefault="004452A0" w:rsidP="004452A0">
      <w:pPr>
        <w:adjustRightInd w:val="0"/>
        <w:snapToGrid w:val="0"/>
        <w:spacing w:after="0" w:line="240" w:lineRule="auto"/>
        <w:jc w:val="both"/>
        <w:rPr>
          <w:sz w:val="20"/>
          <w:szCs w:val="20"/>
        </w:rPr>
      </w:pPr>
    </w:p>
    <w:p w14:paraId="2C1440CC" w14:textId="77777777" w:rsidR="004452A0" w:rsidRDefault="004452A0" w:rsidP="004452A0">
      <w:pPr>
        <w:adjustRightInd w:val="0"/>
        <w:snapToGrid w:val="0"/>
        <w:spacing w:after="0" w:line="240" w:lineRule="auto"/>
        <w:jc w:val="both"/>
        <w:rPr>
          <w:sz w:val="20"/>
          <w:szCs w:val="20"/>
        </w:rPr>
      </w:pPr>
      <w:r w:rsidRPr="00C70430">
        <w:rPr>
          <w:sz w:val="20"/>
          <w:szCs w:val="20"/>
        </w:rPr>
        <w:t xml:space="preserve">Secondly, </w:t>
      </w:r>
      <w:r>
        <w:rPr>
          <w:sz w:val="20"/>
          <w:szCs w:val="20"/>
        </w:rPr>
        <w:t>for</w:t>
      </w:r>
      <w:r w:rsidRPr="00C70430">
        <w:rPr>
          <w:sz w:val="20"/>
          <w:szCs w:val="20"/>
        </w:rPr>
        <w:t xml:space="preserve"> the two </w:t>
      </w:r>
      <w:r>
        <w:rPr>
          <w:sz w:val="20"/>
          <w:szCs w:val="20"/>
        </w:rPr>
        <w:t>rewarded</w:t>
      </w:r>
      <w:r w:rsidRPr="00C70430">
        <w:rPr>
          <w:sz w:val="20"/>
          <w:szCs w:val="20"/>
        </w:rPr>
        <w:t xml:space="preserve"> groups, </w:t>
      </w:r>
      <w:r>
        <w:rPr>
          <w:sz w:val="20"/>
          <w:szCs w:val="20"/>
        </w:rPr>
        <w:t>t</w:t>
      </w:r>
      <w:r w:rsidRPr="00C70430">
        <w:rPr>
          <w:sz w:val="20"/>
          <w:szCs w:val="20"/>
        </w:rPr>
        <w:t xml:space="preserve">he results show that the average score of </w:t>
      </w:r>
      <w:r>
        <w:rPr>
          <w:sz w:val="20"/>
          <w:szCs w:val="20"/>
        </w:rPr>
        <w:t>perceived incentive strength was</w:t>
      </w:r>
      <w:r w:rsidRPr="00C70430">
        <w:rPr>
          <w:sz w:val="20"/>
          <w:szCs w:val="20"/>
        </w:rPr>
        <w:t xml:space="preserve"> </w:t>
      </w:r>
      <w:r>
        <w:rPr>
          <w:sz w:val="20"/>
          <w:szCs w:val="20"/>
        </w:rPr>
        <w:t>significantly</w:t>
      </w:r>
      <w:r w:rsidRPr="00C70430">
        <w:rPr>
          <w:sz w:val="20"/>
          <w:szCs w:val="20"/>
        </w:rPr>
        <w:t xml:space="preserve"> </w:t>
      </w:r>
      <w:r>
        <w:rPr>
          <w:sz w:val="20"/>
          <w:szCs w:val="20"/>
        </w:rPr>
        <w:t>correlated</w:t>
      </w:r>
      <w:r w:rsidRPr="00C70430">
        <w:rPr>
          <w:sz w:val="20"/>
          <w:szCs w:val="20"/>
        </w:rPr>
        <w:t xml:space="preserve"> with the average likelihood of marking </w:t>
      </w:r>
      <w:r>
        <w:rPr>
          <w:sz w:val="20"/>
          <w:szCs w:val="20"/>
        </w:rPr>
        <w:t xml:space="preserve">spam </w:t>
      </w:r>
      <w:r w:rsidRPr="00C70430">
        <w:rPr>
          <w:sz w:val="20"/>
          <w:szCs w:val="20"/>
        </w:rPr>
        <w:t xml:space="preserve">emails, </w:t>
      </w:r>
      <w:r w:rsidRPr="00AA61F7">
        <w:rPr>
          <w:sz w:val="20"/>
          <w:szCs w:val="20"/>
        </w:rPr>
        <w:t>indicating that the greater the perceived value of incentives, the more likely users were to report spam</w:t>
      </w:r>
      <w:r>
        <w:rPr>
          <w:sz w:val="20"/>
          <w:szCs w:val="20"/>
        </w:rPr>
        <w:t>. Such results are</w:t>
      </w:r>
      <w:r w:rsidRPr="00C70430">
        <w:rPr>
          <w:sz w:val="20"/>
          <w:szCs w:val="20"/>
        </w:rPr>
        <w:t xml:space="preserve"> consistent with </w:t>
      </w:r>
      <w:r>
        <w:rPr>
          <w:sz w:val="20"/>
          <w:szCs w:val="20"/>
        </w:rPr>
        <w:t>common sense</w:t>
      </w:r>
      <w:r w:rsidRPr="00C70430">
        <w:rPr>
          <w:sz w:val="20"/>
          <w:szCs w:val="20"/>
        </w:rPr>
        <w:t xml:space="preserve">. </w:t>
      </w:r>
    </w:p>
    <w:p w14:paraId="200690AD" w14:textId="77777777" w:rsidR="004452A0" w:rsidRDefault="004452A0" w:rsidP="004452A0">
      <w:pPr>
        <w:adjustRightInd w:val="0"/>
        <w:snapToGrid w:val="0"/>
        <w:spacing w:after="0" w:line="240" w:lineRule="auto"/>
        <w:jc w:val="both"/>
        <w:rPr>
          <w:sz w:val="20"/>
          <w:szCs w:val="20"/>
        </w:rPr>
      </w:pPr>
    </w:p>
    <w:p w14:paraId="36E90A06" w14:textId="77777777" w:rsidR="004452A0" w:rsidRDefault="004452A0" w:rsidP="004452A0">
      <w:pPr>
        <w:adjustRightInd w:val="0"/>
        <w:snapToGrid w:val="0"/>
        <w:spacing w:after="0" w:line="240" w:lineRule="auto"/>
        <w:jc w:val="both"/>
        <w:rPr>
          <w:sz w:val="20"/>
          <w:szCs w:val="20"/>
        </w:rPr>
      </w:pPr>
      <w:r w:rsidRPr="00C70430">
        <w:rPr>
          <w:sz w:val="20"/>
          <w:szCs w:val="20"/>
        </w:rPr>
        <w:t xml:space="preserve">However, </w:t>
      </w:r>
      <w:r>
        <w:rPr>
          <w:sz w:val="20"/>
          <w:szCs w:val="20"/>
        </w:rPr>
        <w:t>it is interesting to find that within the two reward groups (group 1 and group 2), the</w:t>
      </w:r>
      <w:r w:rsidRPr="00C70430">
        <w:rPr>
          <w:sz w:val="20"/>
          <w:szCs w:val="20"/>
        </w:rPr>
        <w:t xml:space="preserve"> </w:t>
      </w:r>
      <w:r>
        <w:rPr>
          <w:sz w:val="20"/>
          <w:szCs w:val="20"/>
        </w:rPr>
        <w:t>token reward</w:t>
      </w:r>
      <w:r w:rsidRPr="00C70430">
        <w:rPr>
          <w:sz w:val="20"/>
          <w:szCs w:val="20"/>
        </w:rPr>
        <w:t xml:space="preserve"> quantity </w:t>
      </w:r>
      <w:r>
        <w:rPr>
          <w:sz w:val="20"/>
          <w:szCs w:val="20"/>
        </w:rPr>
        <w:t>does not affect the</w:t>
      </w:r>
      <w:r w:rsidRPr="00C70430">
        <w:rPr>
          <w:sz w:val="20"/>
          <w:szCs w:val="20"/>
        </w:rPr>
        <w:t xml:space="preserve"> </w:t>
      </w:r>
      <w:r>
        <w:rPr>
          <w:sz w:val="20"/>
          <w:szCs w:val="20"/>
        </w:rPr>
        <w:t>perceived incentive strength and the reporting behavior</w:t>
      </w:r>
      <w:r w:rsidRPr="00C70430">
        <w:rPr>
          <w:sz w:val="20"/>
          <w:szCs w:val="20"/>
        </w:rPr>
        <w:t>.</w:t>
      </w:r>
      <w:bookmarkStart w:id="69" w:name="OLE_LINK14"/>
      <w:r w:rsidRPr="00082D5C">
        <w:rPr>
          <w:rFonts w:hint="eastAsia"/>
          <w:sz w:val="20"/>
          <w:szCs w:val="20"/>
        </w:rPr>
        <w:t xml:space="preserve"> </w:t>
      </w:r>
      <w:r>
        <w:rPr>
          <w:rFonts w:hint="eastAsia"/>
          <w:sz w:val="20"/>
          <w:szCs w:val="20"/>
        </w:rPr>
        <w:t>T</w:t>
      </w:r>
      <w:r>
        <w:rPr>
          <w:sz w:val="20"/>
          <w:szCs w:val="20"/>
        </w:rPr>
        <w:t>h</w:t>
      </w:r>
      <w:r>
        <w:rPr>
          <w:rFonts w:hint="eastAsia"/>
          <w:sz w:val="20"/>
          <w:szCs w:val="20"/>
        </w:rPr>
        <w:t>e</w:t>
      </w:r>
      <w:r>
        <w:rPr>
          <w:sz w:val="20"/>
          <w:szCs w:val="20"/>
        </w:rPr>
        <w:t xml:space="preserve"> </w:t>
      </w:r>
      <w:r>
        <w:rPr>
          <w:rFonts w:hint="eastAsia"/>
          <w:sz w:val="20"/>
          <w:szCs w:val="20"/>
        </w:rPr>
        <w:t>result</w:t>
      </w:r>
      <w:r>
        <w:rPr>
          <w:sz w:val="20"/>
          <w:szCs w:val="20"/>
        </w:rPr>
        <w:t>s of</w:t>
      </w:r>
      <w:r w:rsidRPr="00F15529">
        <w:rPr>
          <w:sz w:val="20"/>
          <w:szCs w:val="20"/>
        </w:rPr>
        <w:t xml:space="preserve"> </w:t>
      </w:r>
      <w:r w:rsidRPr="00CF2EEA">
        <w:rPr>
          <w:sz w:val="20"/>
          <w:szCs w:val="20"/>
        </w:rPr>
        <w:t>independent</w:t>
      </w:r>
      <w:r w:rsidRPr="00F15529">
        <w:rPr>
          <w:sz w:val="20"/>
          <w:szCs w:val="20"/>
        </w:rPr>
        <w:t xml:space="preserve">-sample </w:t>
      </w:r>
      <w:r>
        <w:rPr>
          <w:sz w:val="20"/>
          <w:szCs w:val="20"/>
        </w:rPr>
        <w:t>t-</w:t>
      </w:r>
      <w:r w:rsidRPr="00F15529">
        <w:rPr>
          <w:sz w:val="20"/>
          <w:szCs w:val="20"/>
        </w:rPr>
        <w:t>test</w:t>
      </w:r>
      <w:r>
        <w:rPr>
          <w:sz w:val="20"/>
          <w:szCs w:val="20"/>
        </w:rPr>
        <w:t xml:space="preserve"> showed no significant difference in perceived incentive strength scores (p = 0.15 &gt; 0.05) and number of spams reported (p = 0.81 &gt; 0.05) between group 1 and group 2.</w:t>
      </w:r>
      <w:bookmarkEnd w:id="69"/>
    </w:p>
    <w:p w14:paraId="25326578" w14:textId="77777777" w:rsidR="004452A0" w:rsidRPr="00C70430" w:rsidRDefault="004452A0" w:rsidP="004452A0">
      <w:pPr>
        <w:adjustRightInd w:val="0"/>
        <w:snapToGrid w:val="0"/>
        <w:spacing w:after="0" w:line="240" w:lineRule="auto"/>
        <w:jc w:val="both"/>
        <w:rPr>
          <w:sz w:val="20"/>
          <w:szCs w:val="20"/>
        </w:rPr>
      </w:pPr>
    </w:p>
    <w:p w14:paraId="196B658B" w14:textId="77777777" w:rsidR="004452A0" w:rsidRPr="00822B8B" w:rsidRDefault="004452A0" w:rsidP="004452A0">
      <w:pPr>
        <w:adjustRightInd w:val="0"/>
        <w:snapToGrid w:val="0"/>
        <w:spacing w:after="0" w:line="240" w:lineRule="auto"/>
        <w:jc w:val="both"/>
        <w:rPr>
          <w:rFonts w:eastAsia="DFKai-SB"/>
          <w:b/>
          <w:sz w:val="20"/>
          <w:szCs w:val="20"/>
        </w:rPr>
      </w:pPr>
      <w:r w:rsidRPr="00822B8B">
        <w:rPr>
          <w:rFonts w:eastAsia="DFKai-SB"/>
          <w:b/>
          <w:sz w:val="20"/>
          <w:szCs w:val="20"/>
        </w:rPr>
        <w:t>D</w:t>
      </w:r>
      <w:r>
        <w:rPr>
          <w:rFonts w:eastAsia="DFKai-SB"/>
          <w:b/>
          <w:sz w:val="20"/>
          <w:szCs w:val="20"/>
        </w:rPr>
        <w:t>iscussion</w:t>
      </w:r>
    </w:p>
    <w:p w14:paraId="48233AC5" w14:textId="77777777" w:rsidR="004452A0" w:rsidRPr="00C70430" w:rsidRDefault="004452A0" w:rsidP="004452A0">
      <w:pPr>
        <w:adjustRightInd w:val="0"/>
        <w:snapToGrid w:val="0"/>
        <w:spacing w:after="0" w:line="240" w:lineRule="auto"/>
        <w:jc w:val="both"/>
        <w:rPr>
          <w:sz w:val="20"/>
          <w:szCs w:val="20"/>
        </w:rPr>
      </w:pPr>
      <w:r>
        <w:rPr>
          <w:sz w:val="20"/>
          <w:szCs w:val="20"/>
        </w:rPr>
        <w:t>In the application scenario of spam reporting, the token incentive mechanism has delivered exceptional results. The increased desire to report spam by the two groups receiving token incentives demonstrates the effectiveness of the token incentive mechanism from the users’ perspective.</w:t>
      </w:r>
    </w:p>
    <w:p w14:paraId="0A927707" w14:textId="77777777" w:rsidR="004452A0" w:rsidRPr="00F601A5" w:rsidRDefault="004452A0" w:rsidP="004452A0">
      <w:pPr>
        <w:adjustRightInd w:val="0"/>
        <w:snapToGrid w:val="0"/>
        <w:spacing w:after="0" w:line="240" w:lineRule="auto"/>
        <w:jc w:val="both"/>
        <w:rPr>
          <w:sz w:val="20"/>
          <w:szCs w:val="20"/>
        </w:rPr>
      </w:pPr>
    </w:p>
    <w:p w14:paraId="2FED0AC1" w14:textId="77777777" w:rsidR="004452A0" w:rsidRDefault="004452A0" w:rsidP="004452A0">
      <w:pPr>
        <w:adjustRightInd w:val="0"/>
        <w:snapToGrid w:val="0"/>
        <w:spacing w:after="0" w:line="240" w:lineRule="auto"/>
        <w:jc w:val="both"/>
        <w:rPr>
          <w:sz w:val="20"/>
          <w:szCs w:val="20"/>
        </w:rPr>
      </w:pPr>
      <w:r>
        <w:rPr>
          <w:sz w:val="20"/>
          <w:szCs w:val="20"/>
        </w:rPr>
        <w:t>In terms of parameters</w:t>
      </w:r>
      <w:r w:rsidRPr="00C70430">
        <w:rPr>
          <w:sz w:val="20"/>
          <w:szCs w:val="20"/>
        </w:rPr>
        <w:t>, we compare</w:t>
      </w:r>
      <w:r>
        <w:rPr>
          <w:sz w:val="20"/>
          <w:szCs w:val="20"/>
        </w:rPr>
        <w:t>d</w:t>
      </w:r>
      <w:r w:rsidRPr="00C70430">
        <w:rPr>
          <w:sz w:val="20"/>
          <w:szCs w:val="20"/>
        </w:rPr>
        <w:t xml:space="preserve"> the </w:t>
      </w:r>
      <w:r>
        <w:rPr>
          <w:sz w:val="20"/>
          <w:szCs w:val="20"/>
        </w:rPr>
        <w:t>incentive effects</w:t>
      </w:r>
      <w:r w:rsidRPr="00C70430">
        <w:rPr>
          <w:sz w:val="20"/>
          <w:szCs w:val="20"/>
        </w:rPr>
        <w:t xml:space="preserve"> of 1 token/spam and 5 tokens/spam According to the results, </w:t>
      </w:r>
      <w:r>
        <w:rPr>
          <w:sz w:val="20"/>
          <w:szCs w:val="20"/>
        </w:rPr>
        <w:t>simply increasing the number of rewarded tokens</w:t>
      </w:r>
      <w:r w:rsidRPr="00C70430">
        <w:rPr>
          <w:sz w:val="20"/>
          <w:szCs w:val="20"/>
        </w:rPr>
        <w:t xml:space="preserve"> d</w:t>
      </w:r>
      <w:r>
        <w:rPr>
          <w:sz w:val="20"/>
          <w:szCs w:val="20"/>
        </w:rPr>
        <w:t>id</w:t>
      </w:r>
      <w:r w:rsidRPr="00C70430">
        <w:rPr>
          <w:sz w:val="20"/>
          <w:szCs w:val="20"/>
        </w:rPr>
        <w:t xml:space="preserve"> not </w:t>
      </w:r>
      <w:r>
        <w:rPr>
          <w:sz w:val="20"/>
          <w:szCs w:val="20"/>
        </w:rPr>
        <w:t>make users</w:t>
      </w:r>
      <w:r w:rsidRPr="00C70430">
        <w:rPr>
          <w:sz w:val="20"/>
          <w:szCs w:val="20"/>
        </w:rPr>
        <w:t xml:space="preserve"> perceive an increase in incentive </w:t>
      </w:r>
      <w:r>
        <w:rPr>
          <w:sz w:val="20"/>
          <w:szCs w:val="20"/>
        </w:rPr>
        <w:t>strength, and the possible reasons are as follows:</w:t>
      </w:r>
    </w:p>
    <w:p w14:paraId="33C26555" w14:textId="77777777" w:rsidR="004452A0" w:rsidRPr="008D51CF" w:rsidRDefault="004452A0" w:rsidP="004452A0">
      <w:pPr>
        <w:adjustRightInd w:val="0"/>
        <w:snapToGrid w:val="0"/>
        <w:spacing w:after="0" w:line="240" w:lineRule="auto"/>
        <w:jc w:val="both"/>
        <w:rPr>
          <w:sz w:val="20"/>
          <w:szCs w:val="20"/>
        </w:rPr>
      </w:pPr>
    </w:p>
    <w:p w14:paraId="43B631D7" w14:textId="77777777" w:rsidR="004452A0" w:rsidRDefault="004452A0" w:rsidP="004452A0">
      <w:pPr>
        <w:adjustRightInd w:val="0"/>
        <w:snapToGrid w:val="0"/>
        <w:spacing w:after="0" w:line="240" w:lineRule="auto"/>
        <w:jc w:val="both"/>
        <w:rPr>
          <w:sz w:val="20"/>
          <w:szCs w:val="20"/>
        </w:rPr>
      </w:pPr>
      <w:r>
        <w:rPr>
          <w:sz w:val="20"/>
          <w:szCs w:val="20"/>
        </w:rPr>
        <w:t>(1)</w:t>
      </w:r>
      <w:r w:rsidRPr="00C70430">
        <w:rPr>
          <w:sz w:val="20"/>
          <w:szCs w:val="20"/>
        </w:rPr>
        <w:t xml:space="preserve"> </w:t>
      </w:r>
      <w:r>
        <w:rPr>
          <w:sz w:val="20"/>
          <w:szCs w:val="20"/>
        </w:rPr>
        <w:t>T</w:t>
      </w:r>
      <w:r w:rsidRPr="00C70430">
        <w:rPr>
          <w:sz w:val="20"/>
          <w:szCs w:val="20"/>
        </w:rPr>
        <w:t>here is currently no incentive mechanism for reporting emails</w:t>
      </w:r>
      <w:r>
        <w:rPr>
          <w:sz w:val="20"/>
          <w:szCs w:val="20"/>
        </w:rPr>
        <w:t xml:space="preserve"> in the real world</w:t>
      </w:r>
      <w:r w:rsidRPr="00C70430">
        <w:rPr>
          <w:sz w:val="20"/>
          <w:szCs w:val="20"/>
        </w:rPr>
        <w:t>, and users</w:t>
      </w:r>
      <w:r>
        <w:rPr>
          <w:sz w:val="20"/>
          <w:szCs w:val="20"/>
        </w:rPr>
        <w:t xml:space="preserve"> feel uncertainty about how many rewards they should receive by reporting a spam mail. I</w:t>
      </w:r>
      <w:r w:rsidRPr="00C70430">
        <w:rPr>
          <w:sz w:val="20"/>
          <w:szCs w:val="20"/>
        </w:rPr>
        <w:t xml:space="preserve">n other words, most users cannot create a unified cognition or standard for the </w:t>
      </w:r>
      <w:r>
        <w:rPr>
          <w:sz w:val="20"/>
          <w:szCs w:val="20"/>
        </w:rPr>
        <w:t>quantity</w:t>
      </w:r>
      <w:r w:rsidRPr="00C70430">
        <w:rPr>
          <w:sz w:val="20"/>
          <w:szCs w:val="20"/>
        </w:rPr>
        <w:t xml:space="preserve"> of incentives. For some users, 1 token/spam is already a lot, while for others, 5 tokens/spam is still rare.</w:t>
      </w:r>
      <w:r>
        <w:rPr>
          <w:sz w:val="20"/>
          <w:szCs w:val="20"/>
        </w:rPr>
        <w:t xml:space="preserve"> As a result, the perceived incentive strength varied between users in the same group, and eventually led to the insignificance of difference in perceived incentive strength scores and number of spams reported between groups.</w:t>
      </w:r>
    </w:p>
    <w:p w14:paraId="3FA2D547" w14:textId="77777777" w:rsidR="004452A0" w:rsidRDefault="004452A0" w:rsidP="004452A0">
      <w:pPr>
        <w:adjustRightInd w:val="0"/>
        <w:snapToGrid w:val="0"/>
        <w:spacing w:after="0" w:line="240" w:lineRule="auto"/>
        <w:jc w:val="both"/>
        <w:rPr>
          <w:sz w:val="20"/>
          <w:szCs w:val="20"/>
        </w:rPr>
      </w:pPr>
    </w:p>
    <w:p w14:paraId="64DCEC44" w14:textId="44299691" w:rsidR="004452A0" w:rsidRPr="00C70430" w:rsidRDefault="004452A0" w:rsidP="004452A0">
      <w:pPr>
        <w:adjustRightInd w:val="0"/>
        <w:snapToGrid w:val="0"/>
        <w:spacing w:after="0" w:line="240" w:lineRule="auto"/>
        <w:jc w:val="both"/>
        <w:rPr>
          <w:sz w:val="20"/>
          <w:szCs w:val="20"/>
        </w:rPr>
      </w:pPr>
      <w:r>
        <w:rPr>
          <w:sz w:val="20"/>
          <w:szCs w:val="20"/>
        </w:rPr>
        <w:t>(2) With the constrain</w:t>
      </w:r>
      <w:r w:rsidR="00EE1AF4">
        <w:rPr>
          <w:sz w:val="20"/>
          <w:szCs w:val="20"/>
        </w:rPr>
        <w:t>t</w:t>
      </w:r>
      <w:r>
        <w:rPr>
          <w:sz w:val="20"/>
          <w:szCs w:val="20"/>
        </w:rPr>
        <w:t>s of our experiment settings, participants could not fully reveal the value of a toke through redeeming, which brought some uncertainty towards the reward strength. This phenomenon suggests that, in order to maximize the incentive effect of blockchain tokens, it is crucial to build the ecosystem for token circulation.</w:t>
      </w:r>
    </w:p>
    <w:p w14:paraId="0A60E6FD" w14:textId="77777777" w:rsidR="004452A0" w:rsidRPr="00C70430" w:rsidRDefault="004452A0" w:rsidP="004452A0">
      <w:pPr>
        <w:adjustRightInd w:val="0"/>
        <w:snapToGrid w:val="0"/>
        <w:spacing w:after="0" w:line="240" w:lineRule="auto"/>
        <w:jc w:val="both"/>
        <w:rPr>
          <w:sz w:val="20"/>
          <w:szCs w:val="20"/>
        </w:rPr>
      </w:pPr>
    </w:p>
    <w:p w14:paraId="428A3C2C" w14:textId="77777777" w:rsidR="004452A0" w:rsidRDefault="004452A0" w:rsidP="004452A0">
      <w:pPr>
        <w:adjustRightInd w:val="0"/>
        <w:snapToGrid w:val="0"/>
        <w:spacing w:after="0" w:line="240" w:lineRule="auto"/>
        <w:jc w:val="both"/>
        <w:rPr>
          <w:sz w:val="20"/>
          <w:szCs w:val="20"/>
        </w:rPr>
      </w:pPr>
      <w:r>
        <w:rPr>
          <w:sz w:val="20"/>
          <w:szCs w:val="20"/>
        </w:rPr>
        <w:t xml:space="preserve">During the experiment, we also learned that the difficulty of explaining tokens to users may reduce the effectiveness of token incentives. It was quite difficult to quickly convey the concept of a blockchain-based token to the majority of the experiment's participants, as they were unfamiliar with blockchain technology. Negative information regarding blockchain technology, such as mining and cryptocurrency price crashes, may damage users' faith in blockchain tokens, as individuals typically resort to the technology's reputation information when confronted with novel technologies or information systems </w:t>
      </w:r>
      <w:r w:rsidRPr="00C70430">
        <w:rPr>
          <w:sz w:val="20"/>
          <w:szCs w:val="20"/>
        </w:rPr>
        <w:fldChar w:fldCharType="begin"/>
      </w:r>
      <w:r>
        <w:rPr>
          <w:sz w:val="20"/>
          <w:szCs w:val="20"/>
        </w:rPr>
        <w:instrText xml:space="preserve"> ADDIN ZOTERO_ITEM CSL_CITATION {"citationID":"appilHza","properties":{"formattedCitation":"(Li et al., 2008)","plainCitation":"(Li et al., 2008)","noteIndex":0},"citationItems":[{"id":2363,"uris":["http://zotero.org/users/8646247/items/JML93NNA"],"itemData":{"id":2363,"type":"article-journal","abstract":"Recent trust research in the information systems (IS) field has described trust as a primary predictor of technology usage and a fundamental construct for understanding user perceptions of technology. Initial trust formation is particularly relevant in an IS context, as users must overcome perceptions of risk and uncertainty before using a novel technology. With initial trust in a more complex, organizational information system, there are a number of external determinants, trusting bases, that may explain trust formation and provide organizations with the needed levers to form or change individuals’ initial trust in technology. In this study, a research model of initial trust formation is developed and includes trusting bases, trusting beliefs, trusting attitude and subjective norm, and trusting intentions. Eight trusting base factors are assessed including personality, cognitive, calculative, and both technology and organizational factors of the institutional base. The model is empirically tested with 443 subjects in the context of initial trust in a national identity system (NID). The proposed model was supported and the results indicate that subjective norm and the cognitive–reputation, calculative, and organizational situational normality base factors significantly influence initial trusting beliefs and other downstream trust constructs. Factors from some of the more commonly investigated bases, personality and technology institutional, did not significantly affect trusting beliefs. The findings have strategic implications for agencies implementing e-government systems and organizational information systems in general.","container-title":"The Journal of Strategic Information Systems","DOI":"10.1016/j.jsis.2008.01.001","ISSN":"0963-8687","issue":"1","journalAbbreviation":"The Journal of Strategic Information Systems","language":"en","page":"39-71","source":"ScienceDirect","title":"Why do we trust new technology? A study of initial trust formation with organizational information systems","title-short":"Why do we trust new technology?","volume":"17","author":[{"family":"Li","given":"Xin"},{"family":"Hess","given":"Traci J."},{"family":"Valacich","given":"Joseph S."}],"issued":{"date-parts":[["2008",3,1]]},"citation-key":"liWhyWeTrust2008"}}],"schema":"https://github.com/citation-style-language/schema/raw/master/csl-citation.json"} </w:instrText>
      </w:r>
      <w:r w:rsidRPr="00C70430">
        <w:rPr>
          <w:sz w:val="20"/>
          <w:szCs w:val="20"/>
        </w:rPr>
        <w:fldChar w:fldCharType="separate"/>
      </w:r>
      <w:r>
        <w:rPr>
          <w:sz w:val="20"/>
          <w:szCs w:val="20"/>
        </w:rPr>
        <w:t>(Li et al., 2008)</w:t>
      </w:r>
      <w:r w:rsidRPr="00C70430">
        <w:rPr>
          <w:sz w:val="20"/>
          <w:szCs w:val="20"/>
        </w:rPr>
        <w:fldChar w:fldCharType="end"/>
      </w:r>
      <w:r>
        <w:rPr>
          <w:sz w:val="20"/>
          <w:szCs w:val="20"/>
        </w:rPr>
        <w:t>. Therefore, when promoting and deploying blockchain tokens in the real world, it is vital to explain the concept and technical principles of blockchain tokens to users in more detail.</w:t>
      </w:r>
    </w:p>
    <w:p w14:paraId="4C3329AB" w14:textId="77777777" w:rsidR="004452A0" w:rsidRPr="00C70430" w:rsidRDefault="004452A0" w:rsidP="004452A0">
      <w:pPr>
        <w:adjustRightInd w:val="0"/>
        <w:snapToGrid w:val="0"/>
        <w:spacing w:after="0" w:line="240" w:lineRule="auto"/>
        <w:jc w:val="both"/>
        <w:rPr>
          <w:sz w:val="20"/>
          <w:szCs w:val="20"/>
        </w:rPr>
      </w:pPr>
    </w:p>
    <w:p w14:paraId="61D25C1C" w14:textId="77777777" w:rsidR="004452A0" w:rsidRPr="00C70430" w:rsidRDefault="004452A0" w:rsidP="004452A0">
      <w:pPr>
        <w:adjustRightInd w:val="0"/>
        <w:snapToGrid w:val="0"/>
        <w:spacing w:after="0" w:line="240" w:lineRule="auto"/>
        <w:jc w:val="center"/>
        <w:rPr>
          <w:rFonts w:eastAsia="DFKai-SB"/>
          <w:b/>
          <w:caps/>
          <w:sz w:val="20"/>
          <w:szCs w:val="20"/>
        </w:rPr>
      </w:pPr>
      <w:bookmarkStart w:id="70" w:name="OLE_LINK97"/>
      <w:r w:rsidRPr="00C70430">
        <w:rPr>
          <w:rFonts w:eastAsia="DFKai-SB"/>
          <w:b/>
          <w:caps/>
          <w:sz w:val="20"/>
          <w:szCs w:val="20"/>
        </w:rPr>
        <w:t>C</w:t>
      </w:r>
      <w:r w:rsidRPr="00C70430">
        <w:rPr>
          <w:rFonts w:eastAsia="DFKai-SB" w:hint="eastAsia"/>
          <w:b/>
          <w:caps/>
          <w:sz w:val="20"/>
          <w:szCs w:val="20"/>
        </w:rPr>
        <w:t>ONCLUSION</w:t>
      </w:r>
    </w:p>
    <w:p w14:paraId="5E2499F4" w14:textId="77777777" w:rsidR="004452A0" w:rsidRPr="00C70430" w:rsidRDefault="004452A0" w:rsidP="004452A0">
      <w:pPr>
        <w:adjustRightInd w:val="0"/>
        <w:snapToGrid w:val="0"/>
        <w:spacing w:after="0" w:line="240" w:lineRule="auto"/>
        <w:jc w:val="both"/>
        <w:rPr>
          <w:sz w:val="20"/>
          <w:szCs w:val="20"/>
        </w:rPr>
      </w:pPr>
      <w:bookmarkStart w:id="71" w:name="OLE_LINK128"/>
      <w:bookmarkEnd w:id="70"/>
      <w:r>
        <w:rPr>
          <w:sz w:val="20"/>
          <w:szCs w:val="20"/>
        </w:rPr>
        <w:t>T</w:t>
      </w:r>
      <w:r w:rsidRPr="00C70430">
        <w:rPr>
          <w:sz w:val="20"/>
          <w:szCs w:val="20"/>
        </w:rPr>
        <w:t>his research</w:t>
      </w:r>
      <w:r>
        <w:rPr>
          <w:sz w:val="20"/>
          <w:szCs w:val="20"/>
        </w:rPr>
        <w:t xml:space="preserve"> aims at</w:t>
      </w:r>
      <w:r w:rsidRPr="00C70430">
        <w:rPr>
          <w:sz w:val="20"/>
          <w:szCs w:val="20"/>
        </w:rPr>
        <w:t xml:space="preserve"> design</w:t>
      </w:r>
      <w:r>
        <w:rPr>
          <w:sz w:val="20"/>
          <w:szCs w:val="20"/>
        </w:rPr>
        <w:t xml:space="preserve">ing an </w:t>
      </w:r>
      <w:bookmarkStart w:id="72" w:name="OLE_LINK127"/>
      <w:r w:rsidRPr="00C70430">
        <w:rPr>
          <w:rFonts w:hint="eastAsia"/>
          <w:sz w:val="20"/>
          <w:szCs w:val="20"/>
        </w:rPr>
        <w:t>i</w:t>
      </w:r>
      <w:r w:rsidRPr="00C70430">
        <w:rPr>
          <w:sz w:val="20"/>
          <w:szCs w:val="20"/>
        </w:rPr>
        <w:t>ncentive mechanism</w:t>
      </w:r>
      <w:bookmarkEnd w:id="72"/>
      <w:r w:rsidRPr="00C70430">
        <w:rPr>
          <w:sz w:val="20"/>
          <w:szCs w:val="20"/>
        </w:rPr>
        <w:t xml:space="preserve"> to </w:t>
      </w:r>
      <w:r>
        <w:rPr>
          <w:sz w:val="20"/>
          <w:szCs w:val="20"/>
        </w:rPr>
        <w:t xml:space="preserve">encourage users to </w:t>
      </w:r>
      <w:r w:rsidRPr="00C70430">
        <w:rPr>
          <w:sz w:val="20"/>
          <w:szCs w:val="20"/>
        </w:rPr>
        <w:t>report spam</w:t>
      </w:r>
      <w:r>
        <w:rPr>
          <w:sz w:val="20"/>
          <w:szCs w:val="20"/>
        </w:rPr>
        <w:t xml:space="preserve"> emails</w:t>
      </w:r>
      <w:r w:rsidRPr="00C70430">
        <w:rPr>
          <w:sz w:val="20"/>
          <w:szCs w:val="20"/>
        </w:rPr>
        <w:t>.</w:t>
      </w:r>
      <w:r>
        <w:rPr>
          <w:sz w:val="20"/>
          <w:szCs w:val="20"/>
        </w:rPr>
        <w:t xml:space="preserve"> However, there exist trust problems among the three main roles </w:t>
      </w:r>
      <w:bookmarkEnd w:id="71"/>
      <w:r>
        <w:rPr>
          <w:sz w:val="20"/>
          <w:szCs w:val="20"/>
        </w:rPr>
        <w:t>i</w:t>
      </w:r>
      <w:r w:rsidRPr="00C70430">
        <w:rPr>
          <w:sz w:val="20"/>
          <w:szCs w:val="20"/>
        </w:rPr>
        <w:t xml:space="preserve">n the </w:t>
      </w:r>
      <w:bookmarkStart w:id="73" w:name="OLE_LINK129"/>
      <w:r w:rsidRPr="00C70430">
        <w:rPr>
          <w:sz w:val="20"/>
          <w:szCs w:val="20"/>
        </w:rPr>
        <w:t>enterprise</w:t>
      </w:r>
      <w:bookmarkEnd w:id="73"/>
      <w:r w:rsidRPr="00C70430">
        <w:rPr>
          <w:sz w:val="20"/>
          <w:szCs w:val="20"/>
        </w:rPr>
        <w:t xml:space="preserve"> </w:t>
      </w:r>
      <w:r>
        <w:rPr>
          <w:rFonts w:hint="eastAsia"/>
          <w:sz w:val="20"/>
          <w:szCs w:val="20"/>
          <w:lang w:eastAsia="zh-CN"/>
        </w:rPr>
        <w:t>email</w:t>
      </w:r>
      <w:r>
        <w:rPr>
          <w:sz w:val="20"/>
          <w:szCs w:val="20"/>
          <w:lang w:eastAsia="zh-CN"/>
        </w:rPr>
        <w:t xml:space="preserve"> system</w:t>
      </w:r>
      <w:r w:rsidRPr="00C70430">
        <w:rPr>
          <w:sz w:val="20"/>
          <w:szCs w:val="20"/>
        </w:rPr>
        <w:t xml:space="preserve">. </w:t>
      </w:r>
      <w:r>
        <w:rPr>
          <w:sz w:val="20"/>
          <w:szCs w:val="20"/>
        </w:rPr>
        <w:t>E</w:t>
      </w:r>
      <w:r w:rsidRPr="00C70430">
        <w:rPr>
          <w:sz w:val="20"/>
          <w:szCs w:val="20"/>
        </w:rPr>
        <w:t>nterprises are concerned about</w:t>
      </w:r>
      <w:r>
        <w:rPr>
          <w:sz w:val="20"/>
          <w:szCs w:val="20"/>
        </w:rPr>
        <w:t xml:space="preserve"> the possibilities of</w:t>
      </w:r>
      <w:r w:rsidRPr="00C70430">
        <w:rPr>
          <w:sz w:val="20"/>
          <w:szCs w:val="20"/>
        </w:rPr>
        <w:t xml:space="preserve"> </w:t>
      </w:r>
      <w:r>
        <w:rPr>
          <w:sz w:val="20"/>
          <w:szCs w:val="20"/>
        </w:rPr>
        <w:t>email data leakage</w:t>
      </w:r>
      <w:r w:rsidRPr="00C70430">
        <w:rPr>
          <w:sz w:val="20"/>
          <w:szCs w:val="20"/>
        </w:rPr>
        <w:t>, and service providers are concerned about</w:t>
      </w:r>
      <w:r>
        <w:rPr>
          <w:sz w:val="20"/>
          <w:szCs w:val="20"/>
        </w:rPr>
        <w:t xml:space="preserve"> the misuse of</w:t>
      </w:r>
      <w:r w:rsidRPr="00C70430">
        <w:rPr>
          <w:sz w:val="20"/>
          <w:szCs w:val="20"/>
        </w:rPr>
        <w:t xml:space="preserve"> incentive mechanism </w:t>
      </w:r>
      <w:r>
        <w:rPr>
          <w:sz w:val="20"/>
          <w:szCs w:val="20"/>
        </w:rPr>
        <w:t>by users and enterprises</w:t>
      </w:r>
      <w:r w:rsidRPr="00C70430">
        <w:rPr>
          <w:sz w:val="20"/>
          <w:szCs w:val="20"/>
        </w:rPr>
        <w:t xml:space="preserve">. As a result, </w:t>
      </w:r>
      <w:r>
        <w:rPr>
          <w:sz w:val="20"/>
          <w:szCs w:val="20"/>
        </w:rPr>
        <w:lastRenderedPageBreak/>
        <w:t>neither</w:t>
      </w:r>
      <w:r w:rsidRPr="00C70430">
        <w:rPr>
          <w:sz w:val="20"/>
          <w:szCs w:val="20"/>
        </w:rPr>
        <w:t xml:space="preserve"> the enterprise </w:t>
      </w:r>
      <w:r>
        <w:rPr>
          <w:sz w:val="20"/>
          <w:szCs w:val="20"/>
        </w:rPr>
        <w:t>nor</w:t>
      </w:r>
      <w:r w:rsidRPr="00C70430">
        <w:rPr>
          <w:sz w:val="20"/>
          <w:szCs w:val="20"/>
        </w:rPr>
        <w:t xml:space="preserve"> the service provider </w:t>
      </w:r>
      <w:r>
        <w:rPr>
          <w:sz w:val="20"/>
          <w:szCs w:val="20"/>
        </w:rPr>
        <w:t>can serve</w:t>
      </w:r>
      <w:r w:rsidRPr="00C70430">
        <w:rPr>
          <w:sz w:val="20"/>
          <w:szCs w:val="20"/>
        </w:rPr>
        <w:t xml:space="preserve"> as the central node of the incentive system. </w:t>
      </w:r>
      <w:r>
        <w:rPr>
          <w:sz w:val="20"/>
          <w:szCs w:val="20"/>
        </w:rPr>
        <w:t>A d</w:t>
      </w:r>
      <w:r w:rsidRPr="00C70430">
        <w:rPr>
          <w:sz w:val="20"/>
          <w:szCs w:val="20"/>
        </w:rPr>
        <w:t>ecentralized incentive</w:t>
      </w:r>
      <w:r>
        <w:rPr>
          <w:sz w:val="20"/>
          <w:szCs w:val="20"/>
        </w:rPr>
        <w:t xml:space="preserve"> mechanism is needed to </w:t>
      </w:r>
      <w:r w:rsidRPr="00C70430">
        <w:rPr>
          <w:sz w:val="20"/>
          <w:szCs w:val="20"/>
        </w:rPr>
        <w:t xml:space="preserve">address the </w:t>
      </w:r>
      <w:r>
        <w:rPr>
          <w:sz w:val="20"/>
          <w:szCs w:val="20"/>
        </w:rPr>
        <w:t>trust problems</w:t>
      </w:r>
      <w:r w:rsidRPr="00C70430">
        <w:rPr>
          <w:sz w:val="20"/>
          <w:szCs w:val="20"/>
        </w:rPr>
        <w:t xml:space="preserve"> between corporations and service providers</w:t>
      </w:r>
      <w:r>
        <w:rPr>
          <w:sz w:val="20"/>
          <w:szCs w:val="20"/>
        </w:rPr>
        <w:t>. Therefore,</w:t>
      </w:r>
      <w:r w:rsidRPr="00C70430">
        <w:rPr>
          <w:sz w:val="20"/>
          <w:szCs w:val="20"/>
        </w:rPr>
        <w:t xml:space="preserve"> </w:t>
      </w:r>
      <w:r>
        <w:rPr>
          <w:sz w:val="20"/>
          <w:szCs w:val="20"/>
        </w:rPr>
        <w:t xml:space="preserve">we used blockchain-based tokens to build the </w:t>
      </w:r>
      <w:r w:rsidRPr="00C70430">
        <w:rPr>
          <w:sz w:val="20"/>
          <w:szCs w:val="20"/>
        </w:rPr>
        <w:t>incentive mechanism</w:t>
      </w:r>
      <w:r>
        <w:rPr>
          <w:sz w:val="20"/>
          <w:szCs w:val="20"/>
        </w:rPr>
        <w:t>.</w:t>
      </w:r>
    </w:p>
    <w:p w14:paraId="3D33022D" w14:textId="77777777" w:rsidR="004452A0" w:rsidRPr="00C70430" w:rsidRDefault="004452A0" w:rsidP="004452A0">
      <w:pPr>
        <w:adjustRightInd w:val="0"/>
        <w:snapToGrid w:val="0"/>
        <w:spacing w:after="0" w:line="240" w:lineRule="auto"/>
        <w:jc w:val="both"/>
        <w:rPr>
          <w:sz w:val="20"/>
          <w:szCs w:val="20"/>
        </w:rPr>
      </w:pPr>
    </w:p>
    <w:p w14:paraId="68E75EB3" w14:textId="77777777" w:rsidR="004452A0" w:rsidRPr="00C70430" w:rsidRDefault="004452A0" w:rsidP="004452A0">
      <w:pPr>
        <w:adjustRightInd w:val="0"/>
        <w:snapToGrid w:val="0"/>
        <w:spacing w:after="0" w:line="240" w:lineRule="auto"/>
        <w:jc w:val="both"/>
        <w:rPr>
          <w:sz w:val="20"/>
          <w:szCs w:val="20"/>
        </w:rPr>
      </w:pPr>
      <w:bookmarkStart w:id="74" w:name="OLE_LINK130"/>
      <w:bookmarkStart w:id="75" w:name="OLE_LINK131"/>
      <w:bookmarkStart w:id="76" w:name="_Hlk113537824"/>
      <w:r w:rsidRPr="00C70430">
        <w:rPr>
          <w:sz w:val="20"/>
          <w:szCs w:val="20"/>
        </w:rPr>
        <w:t>In the mechanism we designed,</w:t>
      </w:r>
      <w:r>
        <w:rPr>
          <w:sz w:val="20"/>
          <w:szCs w:val="20"/>
        </w:rPr>
        <w:t xml:space="preserve"> </w:t>
      </w:r>
      <w:r w:rsidRPr="00C70430">
        <w:rPr>
          <w:sz w:val="20"/>
          <w:szCs w:val="20"/>
        </w:rPr>
        <w:t>users can get tokens</w:t>
      </w:r>
      <w:r>
        <w:rPr>
          <w:sz w:val="20"/>
          <w:szCs w:val="20"/>
        </w:rPr>
        <w:t xml:space="preserve"> rewards</w:t>
      </w:r>
      <w:r w:rsidRPr="00C70430">
        <w:rPr>
          <w:sz w:val="20"/>
          <w:szCs w:val="20"/>
        </w:rPr>
        <w:t xml:space="preserve"> by reporting spam, and then use tokens to redeem </w:t>
      </w:r>
      <w:r>
        <w:rPr>
          <w:sz w:val="20"/>
          <w:szCs w:val="20"/>
        </w:rPr>
        <w:t>other benefits</w:t>
      </w:r>
      <w:r w:rsidRPr="00C70430">
        <w:rPr>
          <w:sz w:val="20"/>
          <w:szCs w:val="20"/>
        </w:rPr>
        <w:t xml:space="preserve"> from </w:t>
      </w:r>
      <w:r>
        <w:rPr>
          <w:sz w:val="20"/>
          <w:szCs w:val="20"/>
        </w:rPr>
        <w:t xml:space="preserve">the </w:t>
      </w:r>
      <w:r w:rsidRPr="00C70430">
        <w:rPr>
          <w:sz w:val="20"/>
          <w:szCs w:val="20"/>
        </w:rPr>
        <w:t xml:space="preserve">enterprise. </w:t>
      </w:r>
      <w:r>
        <w:rPr>
          <w:sz w:val="20"/>
          <w:szCs w:val="20"/>
        </w:rPr>
        <w:t>The e</w:t>
      </w:r>
      <w:r w:rsidRPr="00C70430">
        <w:rPr>
          <w:sz w:val="20"/>
          <w:szCs w:val="20"/>
        </w:rPr>
        <w:t>nterprise obtain</w:t>
      </w:r>
      <w:r>
        <w:rPr>
          <w:sz w:val="20"/>
          <w:szCs w:val="20"/>
        </w:rPr>
        <w:t>s</w:t>
      </w:r>
      <w:r w:rsidRPr="00C70430">
        <w:rPr>
          <w:sz w:val="20"/>
          <w:szCs w:val="20"/>
        </w:rPr>
        <w:t xml:space="preserve"> tokens from users and </w:t>
      </w:r>
      <w:r w:rsidRPr="0028526D">
        <w:rPr>
          <w:sz w:val="20"/>
          <w:szCs w:val="20"/>
        </w:rPr>
        <w:t>uses them to pay the service provider's service fee</w:t>
      </w:r>
      <w:r>
        <w:rPr>
          <w:sz w:val="20"/>
          <w:szCs w:val="20"/>
        </w:rPr>
        <w:t>s</w:t>
      </w:r>
      <w:r w:rsidRPr="00C70430">
        <w:rPr>
          <w:sz w:val="20"/>
          <w:szCs w:val="20"/>
        </w:rPr>
        <w:t xml:space="preserve">. The service provider pays for </w:t>
      </w:r>
      <w:r>
        <w:rPr>
          <w:sz w:val="20"/>
          <w:szCs w:val="20"/>
        </w:rPr>
        <w:t xml:space="preserve">the </w:t>
      </w:r>
      <w:r w:rsidRPr="00C70430">
        <w:rPr>
          <w:sz w:val="20"/>
          <w:szCs w:val="20"/>
        </w:rPr>
        <w:t xml:space="preserve">costs of fee waiver but gets </w:t>
      </w:r>
      <w:r>
        <w:rPr>
          <w:sz w:val="20"/>
          <w:szCs w:val="20"/>
        </w:rPr>
        <w:t>timely, accurate</w:t>
      </w:r>
      <w:r w:rsidRPr="00C70430">
        <w:rPr>
          <w:sz w:val="20"/>
          <w:szCs w:val="20"/>
        </w:rPr>
        <w:t xml:space="preserve"> and personalized labeled spam data, which helps improve filtering performance and enhance industry </w:t>
      </w:r>
      <w:bookmarkEnd w:id="74"/>
      <w:r w:rsidRPr="00C70430">
        <w:rPr>
          <w:sz w:val="20"/>
          <w:szCs w:val="20"/>
        </w:rPr>
        <w:t xml:space="preserve">competitiveness. </w:t>
      </w:r>
      <w:bookmarkEnd w:id="75"/>
      <w:r>
        <w:rPr>
          <w:sz w:val="20"/>
          <w:szCs w:val="20"/>
        </w:rPr>
        <w:t>Furthermore</w:t>
      </w:r>
      <w:r w:rsidRPr="00C70430">
        <w:rPr>
          <w:sz w:val="20"/>
          <w:szCs w:val="20"/>
        </w:rPr>
        <w:t>, the mechanism of token issuance and circulation</w:t>
      </w:r>
      <w:r>
        <w:rPr>
          <w:sz w:val="20"/>
          <w:szCs w:val="20"/>
        </w:rPr>
        <w:t xml:space="preserve"> are designed to</w:t>
      </w:r>
      <w:r w:rsidRPr="00C70430">
        <w:rPr>
          <w:sz w:val="20"/>
          <w:szCs w:val="20"/>
        </w:rPr>
        <w:t xml:space="preserve"> </w:t>
      </w:r>
      <w:r>
        <w:rPr>
          <w:sz w:val="20"/>
          <w:szCs w:val="20"/>
        </w:rPr>
        <w:t xml:space="preserve">ensure the value of tokens and that </w:t>
      </w:r>
      <w:r w:rsidRPr="00C70430">
        <w:rPr>
          <w:sz w:val="20"/>
          <w:szCs w:val="20"/>
        </w:rPr>
        <w:t>enterprises and service providers</w:t>
      </w:r>
      <w:r>
        <w:rPr>
          <w:sz w:val="20"/>
          <w:szCs w:val="20"/>
        </w:rPr>
        <w:t xml:space="preserve"> can make </w:t>
      </w:r>
      <w:r w:rsidRPr="00C70430">
        <w:rPr>
          <w:sz w:val="20"/>
          <w:szCs w:val="20"/>
        </w:rPr>
        <w:t>flexible adjustment of the incentive</w:t>
      </w:r>
      <w:r>
        <w:rPr>
          <w:sz w:val="20"/>
          <w:szCs w:val="20"/>
        </w:rPr>
        <w:t xml:space="preserve"> cost.</w:t>
      </w:r>
    </w:p>
    <w:bookmarkEnd w:id="76"/>
    <w:p w14:paraId="0F28D784" w14:textId="77777777" w:rsidR="004452A0" w:rsidRPr="00C70430" w:rsidRDefault="004452A0" w:rsidP="004452A0">
      <w:pPr>
        <w:adjustRightInd w:val="0"/>
        <w:snapToGrid w:val="0"/>
        <w:spacing w:after="0" w:line="240" w:lineRule="auto"/>
        <w:jc w:val="both"/>
        <w:rPr>
          <w:sz w:val="20"/>
          <w:szCs w:val="20"/>
        </w:rPr>
      </w:pPr>
    </w:p>
    <w:p w14:paraId="2CE0984E" w14:textId="77777777" w:rsidR="004452A0" w:rsidRPr="00C70430" w:rsidRDefault="004452A0" w:rsidP="004452A0">
      <w:pPr>
        <w:adjustRightInd w:val="0"/>
        <w:snapToGrid w:val="0"/>
        <w:spacing w:after="0" w:line="240" w:lineRule="auto"/>
        <w:jc w:val="both"/>
        <w:rPr>
          <w:sz w:val="20"/>
          <w:szCs w:val="20"/>
        </w:rPr>
      </w:pPr>
      <w:bookmarkStart w:id="77" w:name="OLE_LINK132"/>
      <w:r>
        <w:rPr>
          <w:sz w:val="20"/>
          <w:szCs w:val="20"/>
        </w:rPr>
        <w:t>The results of u</w:t>
      </w:r>
      <w:r w:rsidRPr="00C70430">
        <w:rPr>
          <w:sz w:val="20"/>
          <w:szCs w:val="20"/>
        </w:rPr>
        <w:t xml:space="preserve">ser experiment </w:t>
      </w:r>
      <w:bookmarkStart w:id="78" w:name="OLE_LINK578"/>
      <w:r w:rsidRPr="00C70430">
        <w:rPr>
          <w:sz w:val="20"/>
          <w:szCs w:val="20"/>
        </w:rPr>
        <w:t>indicate</w:t>
      </w:r>
      <w:r>
        <w:rPr>
          <w:sz w:val="20"/>
          <w:szCs w:val="20"/>
        </w:rPr>
        <w:t>d</w:t>
      </w:r>
      <w:r w:rsidRPr="00C70430">
        <w:rPr>
          <w:sz w:val="20"/>
          <w:szCs w:val="20"/>
        </w:rPr>
        <w:t xml:space="preserve"> that the incentive mechanism proposed in this paper can increase the probability of users reporting spam by more than 1.4 times. Further</w:t>
      </w:r>
      <w:r>
        <w:rPr>
          <w:sz w:val="20"/>
          <w:szCs w:val="20"/>
        </w:rPr>
        <w:t>,</w:t>
      </w:r>
      <w:r w:rsidRPr="00C70430">
        <w:rPr>
          <w:sz w:val="20"/>
          <w:szCs w:val="20"/>
        </w:rPr>
        <w:t xml:space="preserve"> </w:t>
      </w:r>
      <w:r>
        <w:rPr>
          <w:sz w:val="20"/>
          <w:szCs w:val="20"/>
        </w:rPr>
        <w:t>the ecosystem for token circulation should be well-establish</w:t>
      </w:r>
      <w:r w:rsidRPr="00C70430">
        <w:rPr>
          <w:sz w:val="20"/>
          <w:szCs w:val="20"/>
        </w:rPr>
        <w:t xml:space="preserve"> </w:t>
      </w:r>
      <w:r>
        <w:rPr>
          <w:sz w:val="20"/>
          <w:szCs w:val="20"/>
        </w:rPr>
        <w:t>so that</w:t>
      </w:r>
      <w:r w:rsidRPr="00C70430">
        <w:rPr>
          <w:sz w:val="20"/>
          <w:szCs w:val="20"/>
        </w:rPr>
        <w:t xml:space="preserve"> service providers </w:t>
      </w:r>
      <w:r>
        <w:rPr>
          <w:sz w:val="20"/>
          <w:szCs w:val="20"/>
        </w:rPr>
        <w:t>may</w:t>
      </w:r>
      <w:r w:rsidRPr="00C70430">
        <w:rPr>
          <w:sz w:val="20"/>
          <w:szCs w:val="20"/>
        </w:rPr>
        <w:t xml:space="preserve"> obtain </w:t>
      </w:r>
      <w:r>
        <w:rPr>
          <w:sz w:val="20"/>
          <w:szCs w:val="20"/>
        </w:rPr>
        <w:t xml:space="preserve">spam </w:t>
      </w:r>
      <w:r w:rsidRPr="00C70430">
        <w:rPr>
          <w:sz w:val="20"/>
          <w:szCs w:val="20"/>
        </w:rPr>
        <w:t>data at a low cost.</w:t>
      </w:r>
      <w:r>
        <w:rPr>
          <w:sz w:val="20"/>
          <w:szCs w:val="20"/>
        </w:rPr>
        <w:t xml:space="preserve"> Moreover, it is necessary to </w:t>
      </w:r>
      <w:r w:rsidRPr="00C70430">
        <w:rPr>
          <w:sz w:val="20"/>
          <w:szCs w:val="20"/>
        </w:rPr>
        <w:t>explain</w:t>
      </w:r>
      <w:r>
        <w:rPr>
          <w:sz w:val="20"/>
          <w:szCs w:val="20"/>
        </w:rPr>
        <w:t xml:space="preserve"> more clearly </w:t>
      </w:r>
      <w:r w:rsidRPr="00C70430">
        <w:rPr>
          <w:sz w:val="20"/>
          <w:szCs w:val="20"/>
        </w:rPr>
        <w:t>to users</w:t>
      </w:r>
      <w:r>
        <w:rPr>
          <w:sz w:val="20"/>
          <w:szCs w:val="20"/>
        </w:rPr>
        <w:t xml:space="preserve"> about</w:t>
      </w:r>
      <w:r w:rsidRPr="00C70430">
        <w:rPr>
          <w:sz w:val="20"/>
          <w:szCs w:val="20"/>
        </w:rPr>
        <w:t xml:space="preserve"> blockchain tokens </w:t>
      </w:r>
      <w:r>
        <w:rPr>
          <w:sz w:val="20"/>
          <w:szCs w:val="20"/>
        </w:rPr>
        <w:t>and make them trust the new technologies.</w:t>
      </w:r>
    </w:p>
    <w:bookmarkEnd w:id="77"/>
    <w:bookmarkEnd w:id="78"/>
    <w:p w14:paraId="3F3FA866" w14:textId="77777777" w:rsidR="004452A0" w:rsidRPr="00C70430" w:rsidRDefault="004452A0" w:rsidP="004452A0">
      <w:pPr>
        <w:adjustRightInd w:val="0"/>
        <w:snapToGrid w:val="0"/>
        <w:spacing w:after="0" w:line="240" w:lineRule="auto"/>
        <w:jc w:val="both"/>
        <w:rPr>
          <w:sz w:val="20"/>
          <w:szCs w:val="20"/>
        </w:rPr>
      </w:pPr>
    </w:p>
    <w:p w14:paraId="082C3683" w14:textId="37C636D5" w:rsidR="004452A0" w:rsidRDefault="004452A0" w:rsidP="004452A0">
      <w:pPr>
        <w:adjustRightInd w:val="0"/>
        <w:snapToGrid w:val="0"/>
        <w:spacing w:after="0" w:line="240" w:lineRule="auto"/>
        <w:jc w:val="both"/>
        <w:rPr>
          <w:sz w:val="20"/>
          <w:szCs w:val="20"/>
        </w:rPr>
      </w:pPr>
      <w:r>
        <w:rPr>
          <w:sz w:val="20"/>
          <w:szCs w:val="20"/>
        </w:rPr>
        <w:t>The current study still</w:t>
      </w:r>
      <w:r w:rsidRPr="00C70430">
        <w:rPr>
          <w:sz w:val="20"/>
          <w:szCs w:val="20"/>
        </w:rPr>
        <w:t xml:space="preserve"> has certain limitations. First, </w:t>
      </w:r>
      <w:r>
        <w:rPr>
          <w:sz w:val="20"/>
          <w:szCs w:val="20"/>
        </w:rPr>
        <w:t xml:space="preserve">we only </w:t>
      </w:r>
      <w:r w:rsidRPr="00C70430">
        <w:rPr>
          <w:sz w:val="20"/>
          <w:szCs w:val="20"/>
        </w:rPr>
        <w:t xml:space="preserve">employ </w:t>
      </w:r>
      <w:r>
        <w:rPr>
          <w:sz w:val="20"/>
          <w:szCs w:val="20"/>
        </w:rPr>
        <w:t>a</w:t>
      </w:r>
      <w:r w:rsidRPr="00C70430">
        <w:rPr>
          <w:sz w:val="20"/>
          <w:szCs w:val="20"/>
        </w:rPr>
        <w:t xml:space="preserve"> user </w:t>
      </w:r>
      <w:r>
        <w:rPr>
          <w:sz w:val="20"/>
          <w:szCs w:val="20"/>
        </w:rPr>
        <w:t>experiment</w:t>
      </w:r>
      <w:r w:rsidRPr="00C70430">
        <w:rPr>
          <w:sz w:val="20"/>
          <w:szCs w:val="20"/>
        </w:rPr>
        <w:t xml:space="preserve"> approach for evaluation</w:t>
      </w:r>
      <w:r>
        <w:rPr>
          <w:sz w:val="20"/>
          <w:szCs w:val="20"/>
        </w:rPr>
        <w:t>. T</w:t>
      </w:r>
      <w:r w:rsidRPr="00C70430">
        <w:rPr>
          <w:sz w:val="20"/>
          <w:szCs w:val="20"/>
        </w:rPr>
        <w:t>he incentive mechanism can be</w:t>
      </w:r>
      <w:r>
        <w:rPr>
          <w:sz w:val="20"/>
          <w:szCs w:val="20"/>
        </w:rPr>
        <w:t xml:space="preserve"> further</w:t>
      </w:r>
      <w:r w:rsidRPr="00C70430">
        <w:rPr>
          <w:sz w:val="20"/>
          <w:szCs w:val="20"/>
        </w:rPr>
        <w:t xml:space="preserve"> validated from the standpoint of speculative strategy in future study. Second,</w:t>
      </w:r>
      <w:r>
        <w:rPr>
          <w:sz w:val="20"/>
          <w:szCs w:val="20"/>
        </w:rPr>
        <w:t xml:space="preserve"> we were unable to</w:t>
      </w:r>
      <w:r w:rsidRPr="00C70430">
        <w:rPr>
          <w:sz w:val="20"/>
          <w:szCs w:val="20"/>
        </w:rPr>
        <w:t xml:space="preserve"> </w:t>
      </w:r>
      <w:r>
        <w:rPr>
          <w:sz w:val="20"/>
          <w:szCs w:val="20"/>
        </w:rPr>
        <w:t>fully simulate the environment for the ecosystem of token circulation due to the constrain</w:t>
      </w:r>
      <w:r w:rsidR="002C3F3D">
        <w:rPr>
          <w:sz w:val="20"/>
          <w:szCs w:val="20"/>
        </w:rPr>
        <w:t>t</w:t>
      </w:r>
      <w:r>
        <w:rPr>
          <w:sz w:val="20"/>
          <w:szCs w:val="20"/>
        </w:rPr>
        <w:t>s of the experiment, which may be better implemented in future work</w:t>
      </w:r>
      <w:r w:rsidRPr="00C70430">
        <w:rPr>
          <w:sz w:val="20"/>
          <w:szCs w:val="20"/>
        </w:rPr>
        <w:t xml:space="preserve">. </w:t>
      </w:r>
      <w:r>
        <w:rPr>
          <w:sz w:val="20"/>
          <w:szCs w:val="20"/>
        </w:rPr>
        <w:t>Third</w:t>
      </w:r>
      <w:r w:rsidRPr="00C70430">
        <w:rPr>
          <w:sz w:val="20"/>
          <w:szCs w:val="20"/>
        </w:rPr>
        <w:t>, the results may be biased</w:t>
      </w:r>
      <w:r>
        <w:rPr>
          <w:sz w:val="20"/>
          <w:szCs w:val="20"/>
        </w:rPr>
        <w:t xml:space="preserve"> as </w:t>
      </w:r>
      <w:r w:rsidRPr="00C70430">
        <w:rPr>
          <w:sz w:val="20"/>
          <w:szCs w:val="20"/>
        </w:rPr>
        <w:t>the experimental subjects are all undergr</w:t>
      </w:r>
      <w:r>
        <w:rPr>
          <w:sz w:val="20"/>
          <w:szCs w:val="20"/>
        </w:rPr>
        <w:t>aduate</w:t>
      </w:r>
      <w:r w:rsidRPr="00C70430">
        <w:rPr>
          <w:rFonts w:hint="eastAsia"/>
          <w:sz w:val="20"/>
          <w:szCs w:val="20"/>
          <w:lang w:eastAsia="zh-CN"/>
        </w:rPr>
        <w:t> </w:t>
      </w:r>
      <w:r w:rsidRPr="00C70430">
        <w:rPr>
          <w:sz w:val="20"/>
          <w:szCs w:val="20"/>
        </w:rPr>
        <w:t>students.</w:t>
      </w:r>
      <w:r>
        <w:rPr>
          <w:sz w:val="20"/>
          <w:szCs w:val="20"/>
        </w:rPr>
        <w:t xml:space="preserve"> </w:t>
      </w:r>
      <w:r w:rsidRPr="0073459F">
        <w:rPr>
          <w:sz w:val="20"/>
          <w:szCs w:val="20"/>
        </w:rPr>
        <w:t>It is feasible to enhance</w:t>
      </w:r>
      <w:r>
        <w:rPr>
          <w:sz w:val="20"/>
          <w:szCs w:val="20"/>
        </w:rPr>
        <w:t xml:space="preserve"> the experiment by recruiting enterprise email users as the subjects. And fourth</w:t>
      </w:r>
      <w:r w:rsidRPr="00C70430">
        <w:rPr>
          <w:sz w:val="20"/>
          <w:szCs w:val="20"/>
        </w:rPr>
        <w:t xml:space="preserve">, </w:t>
      </w:r>
      <w:r>
        <w:rPr>
          <w:sz w:val="20"/>
          <w:szCs w:val="20"/>
        </w:rPr>
        <w:t>although</w:t>
      </w:r>
      <w:r w:rsidRPr="00C70430">
        <w:rPr>
          <w:sz w:val="20"/>
          <w:szCs w:val="20"/>
        </w:rPr>
        <w:t xml:space="preserve"> probable explanations for </w:t>
      </w:r>
      <w:r>
        <w:rPr>
          <w:sz w:val="20"/>
          <w:szCs w:val="20"/>
        </w:rPr>
        <w:t>the experiment</w:t>
      </w:r>
      <w:r w:rsidRPr="00C70430">
        <w:rPr>
          <w:sz w:val="20"/>
          <w:szCs w:val="20"/>
        </w:rPr>
        <w:t xml:space="preserve"> results </w:t>
      </w:r>
      <w:r>
        <w:rPr>
          <w:sz w:val="20"/>
          <w:szCs w:val="20"/>
        </w:rPr>
        <w:t xml:space="preserve">have been </w:t>
      </w:r>
      <w:r w:rsidRPr="00C70430">
        <w:rPr>
          <w:sz w:val="20"/>
          <w:szCs w:val="20"/>
        </w:rPr>
        <w:t xml:space="preserve">provided, </w:t>
      </w:r>
      <w:r>
        <w:rPr>
          <w:sz w:val="20"/>
          <w:szCs w:val="20"/>
        </w:rPr>
        <w:t>it would be better to interpret the results from a more theoretical perspective.</w:t>
      </w:r>
    </w:p>
    <w:p w14:paraId="3B4B7A7E" w14:textId="77777777" w:rsidR="00C53F76" w:rsidRDefault="00C53F76" w:rsidP="00051469">
      <w:pPr>
        <w:adjustRightInd w:val="0"/>
        <w:snapToGrid w:val="0"/>
        <w:spacing w:after="0" w:line="240" w:lineRule="auto"/>
        <w:jc w:val="center"/>
        <w:rPr>
          <w:sz w:val="20"/>
          <w:szCs w:val="20"/>
        </w:rPr>
      </w:pPr>
    </w:p>
    <w:p w14:paraId="7A997C7F" w14:textId="69931A3C" w:rsidR="00C53F76" w:rsidRDefault="00051469" w:rsidP="00051469">
      <w:pPr>
        <w:adjustRightInd w:val="0"/>
        <w:snapToGrid w:val="0"/>
        <w:spacing w:after="0" w:line="240" w:lineRule="auto"/>
        <w:jc w:val="center"/>
        <w:rPr>
          <w:rFonts w:eastAsia="DFKai-SB"/>
          <w:b/>
          <w:caps/>
          <w:sz w:val="20"/>
          <w:szCs w:val="20"/>
        </w:rPr>
      </w:pPr>
      <w:r w:rsidRPr="00051469">
        <w:rPr>
          <w:rFonts w:eastAsia="DFKai-SB"/>
          <w:b/>
          <w:caps/>
          <w:sz w:val="20"/>
          <w:szCs w:val="20"/>
        </w:rPr>
        <w:t>ACKNOWLEDGMENT</w:t>
      </w:r>
    </w:p>
    <w:p w14:paraId="16C66BD6" w14:textId="7148E2C5" w:rsidR="00051469" w:rsidRPr="00C70430" w:rsidRDefault="006C71AE" w:rsidP="006C71AE">
      <w:pPr>
        <w:adjustRightInd w:val="0"/>
        <w:snapToGrid w:val="0"/>
        <w:spacing w:after="0" w:line="240" w:lineRule="auto"/>
        <w:jc w:val="both"/>
        <w:rPr>
          <w:sz w:val="20"/>
          <w:szCs w:val="20"/>
        </w:rPr>
      </w:pPr>
      <w:r w:rsidRPr="006C71AE">
        <w:rPr>
          <w:sz w:val="20"/>
          <w:szCs w:val="20"/>
        </w:rPr>
        <w:t>This work was supported by grants No. 72071083 and 72171089 from the National Natural Science Foundation of China, grant No. 2021A1515012003 from the Guangdong Natural Science Foundation of China, and grant No. 2021GZQN09 from the Project of Philosophy and Social Science Planning of Guangzhou in 2021.</w:t>
      </w:r>
    </w:p>
    <w:p w14:paraId="2333F0D2" w14:textId="77777777" w:rsidR="004452A0" w:rsidRPr="004174FD" w:rsidRDefault="004452A0" w:rsidP="004452A0">
      <w:pPr>
        <w:adjustRightInd w:val="0"/>
        <w:snapToGrid w:val="0"/>
        <w:spacing w:after="0" w:line="240" w:lineRule="auto"/>
        <w:jc w:val="both"/>
        <w:rPr>
          <w:sz w:val="20"/>
          <w:szCs w:val="20"/>
        </w:rPr>
      </w:pPr>
    </w:p>
    <w:p w14:paraId="1AAA68BB" w14:textId="77777777" w:rsidR="004452A0" w:rsidRPr="00641825" w:rsidRDefault="004452A0" w:rsidP="004452A0">
      <w:pPr>
        <w:adjustRightInd w:val="0"/>
        <w:snapToGrid w:val="0"/>
        <w:spacing w:after="0" w:line="240" w:lineRule="auto"/>
        <w:jc w:val="center"/>
        <w:rPr>
          <w:rFonts w:eastAsia="DFKai-SB"/>
          <w:b/>
          <w:caps/>
          <w:sz w:val="20"/>
          <w:szCs w:val="20"/>
        </w:rPr>
      </w:pPr>
      <w:r w:rsidRPr="00254C01">
        <w:rPr>
          <w:rFonts w:eastAsia="DFKai-SB"/>
          <w:b/>
          <w:caps/>
          <w:sz w:val="20"/>
          <w:szCs w:val="20"/>
        </w:rPr>
        <w:t>REFERENCES</w:t>
      </w:r>
    </w:p>
    <w:p w14:paraId="7656FF6A" w14:textId="77777777" w:rsidR="008F5048" w:rsidRPr="008F5048" w:rsidRDefault="004452A0" w:rsidP="00BA536A">
      <w:pPr>
        <w:autoSpaceDE w:val="0"/>
        <w:autoSpaceDN w:val="0"/>
        <w:adjustRightInd w:val="0"/>
        <w:spacing w:after="0" w:line="240" w:lineRule="auto"/>
        <w:ind w:left="539" w:hanging="539"/>
        <w:rPr>
          <w:sz w:val="20"/>
        </w:rPr>
      </w:pPr>
      <w:r w:rsidRPr="000319E7">
        <w:rPr>
          <w:sz w:val="20"/>
          <w:szCs w:val="20"/>
        </w:rPr>
        <w:fldChar w:fldCharType="begin"/>
      </w:r>
      <w:r w:rsidR="008F5048">
        <w:instrText xml:space="preserve"> ADDIN ZOTERO_BIBL {"uncited":[],"omitted":[],"custom":[]} CSL_BIBLIOGRAPHY </w:instrText>
      </w:r>
      <w:r w:rsidRPr="000319E7">
        <w:rPr>
          <w:sz w:val="20"/>
          <w:szCs w:val="20"/>
        </w:rPr>
        <w:fldChar w:fldCharType="separate"/>
      </w:r>
      <w:r w:rsidR="008F5048" w:rsidRPr="008F5048">
        <w:rPr>
          <w:sz w:val="20"/>
        </w:rPr>
        <w:t xml:space="preserve">Apoorva, K. A., &amp; Sangeetha, S. (2021). Deep neural network and model-based clustering technique for forensic electronic mail author attribution. </w:t>
      </w:r>
      <w:r w:rsidR="008F5048" w:rsidRPr="008F5048">
        <w:rPr>
          <w:i/>
          <w:iCs/>
          <w:sz w:val="20"/>
        </w:rPr>
        <w:t>SN Applied Sciences</w:t>
      </w:r>
      <w:r w:rsidR="008F5048" w:rsidRPr="008F5048">
        <w:rPr>
          <w:sz w:val="20"/>
        </w:rPr>
        <w:t xml:space="preserve">, </w:t>
      </w:r>
      <w:r w:rsidR="008F5048" w:rsidRPr="008F5048">
        <w:rPr>
          <w:i/>
          <w:iCs/>
          <w:sz w:val="20"/>
        </w:rPr>
        <w:t>3</w:t>
      </w:r>
      <w:r w:rsidR="008F5048" w:rsidRPr="008F5048">
        <w:rPr>
          <w:sz w:val="20"/>
        </w:rPr>
        <w:t>(3), 348. https://doi.org/10.1007/s42452-020-04127-6</w:t>
      </w:r>
    </w:p>
    <w:p w14:paraId="02918736"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Berdik, D., Otoum, S., Schmidt, N., Porter, D., &amp; Jararweh, Y. (2021). A Survey on Blockchain for Information Systems Management and Security. </w:t>
      </w:r>
      <w:r w:rsidRPr="008F5048">
        <w:rPr>
          <w:i/>
          <w:iCs/>
          <w:sz w:val="20"/>
        </w:rPr>
        <w:t>Information Processing &amp; Management</w:t>
      </w:r>
      <w:r w:rsidRPr="008F5048">
        <w:rPr>
          <w:sz w:val="20"/>
        </w:rPr>
        <w:t xml:space="preserve">, </w:t>
      </w:r>
      <w:r w:rsidRPr="008F5048">
        <w:rPr>
          <w:i/>
          <w:iCs/>
          <w:sz w:val="20"/>
        </w:rPr>
        <w:t>58</w:t>
      </w:r>
      <w:r w:rsidRPr="008F5048">
        <w:rPr>
          <w:sz w:val="20"/>
        </w:rPr>
        <w:t>(1), 102397. https://doi.org/10.1016/j.ipm.2020.102397</w:t>
      </w:r>
    </w:p>
    <w:p w14:paraId="23FCE648"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Chen S., &amp; Xu D. (2018). A personalized mail re-filtering system based on the client. </w:t>
      </w:r>
      <w:r w:rsidRPr="008F5048">
        <w:rPr>
          <w:i/>
          <w:iCs/>
          <w:sz w:val="20"/>
        </w:rPr>
        <w:t>SCIENTIA SINICA Informationis</w:t>
      </w:r>
      <w:r w:rsidRPr="008F5048">
        <w:rPr>
          <w:sz w:val="20"/>
        </w:rPr>
        <w:t xml:space="preserve">, </w:t>
      </w:r>
      <w:r w:rsidRPr="008F5048">
        <w:rPr>
          <w:i/>
          <w:iCs/>
          <w:sz w:val="20"/>
        </w:rPr>
        <w:t>48</w:t>
      </w:r>
      <w:r w:rsidRPr="008F5048">
        <w:rPr>
          <w:sz w:val="20"/>
        </w:rPr>
        <w:t>(12), 1681–1696. https://doi.org/10.1360/N112018-00138</w:t>
      </w:r>
    </w:p>
    <w:p w14:paraId="381B0C76"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Dang, S., Cao, S., Li, J., &amp; Zhang, X. (2022). Dynamic incentive mechanism design for regulation‐aware systems. </w:t>
      </w:r>
      <w:r w:rsidRPr="008F5048">
        <w:rPr>
          <w:i/>
          <w:iCs/>
          <w:sz w:val="20"/>
        </w:rPr>
        <w:t>International Journal of Intelligent Systems</w:t>
      </w:r>
      <w:r w:rsidRPr="008F5048">
        <w:rPr>
          <w:sz w:val="20"/>
        </w:rPr>
        <w:t xml:space="preserve">, </w:t>
      </w:r>
      <w:r w:rsidRPr="008F5048">
        <w:rPr>
          <w:i/>
          <w:iCs/>
          <w:sz w:val="20"/>
        </w:rPr>
        <w:t>37</w:t>
      </w:r>
      <w:r w:rsidRPr="008F5048">
        <w:rPr>
          <w:sz w:val="20"/>
        </w:rPr>
        <w:t>(2), 1299–1321. https://doi.org/10.1002/int.22670</w:t>
      </w:r>
    </w:p>
    <w:p w14:paraId="00B9CD1C"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Drasch, B. J., Fridgen, G., Manner-Romberg, T., Nolting, F. M., &amp; Radszuwill, S. (2020). The token’s secret: The two-faced financial incentive of the token economy. </w:t>
      </w:r>
      <w:r w:rsidRPr="008F5048">
        <w:rPr>
          <w:i/>
          <w:iCs/>
          <w:sz w:val="20"/>
        </w:rPr>
        <w:t>Electronic Markets</w:t>
      </w:r>
      <w:r w:rsidRPr="008F5048">
        <w:rPr>
          <w:sz w:val="20"/>
        </w:rPr>
        <w:t xml:space="preserve">, </w:t>
      </w:r>
      <w:r w:rsidRPr="008F5048">
        <w:rPr>
          <w:i/>
          <w:iCs/>
          <w:sz w:val="20"/>
        </w:rPr>
        <w:t>30</w:t>
      </w:r>
      <w:r w:rsidRPr="008F5048">
        <w:rPr>
          <w:sz w:val="20"/>
        </w:rPr>
        <w:t>(3), 557–567. https://doi.org/10.1007/s12525-020-00412-9</w:t>
      </w:r>
    </w:p>
    <w:p w14:paraId="72FE4E29"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Gong, Y., &amp; Fan, P. (2019). Research on the dynamic incentive mechanism of information sharing in social network services based on reputation mechanism. </w:t>
      </w:r>
      <w:r w:rsidRPr="008F5048">
        <w:rPr>
          <w:i/>
          <w:iCs/>
          <w:sz w:val="20"/>
        </w:rPr>
        <w:t>Cluster Computing</w:t>
      </w:r>
      <w:r w:rsidRPr="008F5048">
        <w:rPr>
          <w:sz w:val="20"/>
        </w:rPr>
        <w:t xml:space="preserve">, </w:t>
      </w:r>
      <w:r w:rsidRPr="008F5048">
        <w:rPr>
          <w:i/>
          <w:iCs/>
          <w:sz w:val="20"/>
        </w:rPr>
        <w:t>22</w:t>
      </w:r>
      <w:r w:rsidRPr="008F5048">
        <w:rPr>
          <w:sz w:val="20"/>
        </w:rPr>
        <w:t>(S2), 5025–5031. https://doi.org/10.1007/s10586-018-2471-x</w:t>
      </w:r>
    </w:p>
    <w:p w14:paraId="2109746E"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Hinarejos, M. F., &amp; Ferrer-Gomila, J.-L. (2020). A Solution for Secure Multi-Party Certified Electronic Mail Using Blockchain. </w:t>
      </w:r>
      <w:r w:rsidRPr="008F5048">
        <w:rPr>
          <w:i/>
          <w:iCs/>
          <w:sz w:val="20"/>
        </w:rPr>
        <w:t>IEEE Access</w:t>
      </w:r>
      <w:r w:rsidRPr="008F5048">
        <w:rPr>
          <w:sz w:val="20"/>
        </w:rPr>
        <w:t xml:space="preserve">, </w:t>
      </w:r>
      <w:r w:rsidRPr="008F5048">
        <w:rPr>
          <w:i/>
          <w:iCs/>
          <w:sz w:val="20"/>
        </w:rPr>
        <w:t>8</w:t>
      </w:r>
      <w:r w:rsidRPr="008F5048">
        <w:rPr>
          <w:sz w:val="20"/>
        </w:rPr>
        <w:t>, 102997–103006. https://doi.org/10.1109/ACCESS.2020.2998679</w:t>
      </w:r>
    </w:p>
    <w:p w14:paraId="02C476CF"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Hinarejos, M. F., Ferrer-Gomila, J.-L., &amp; Huguet-Rotger, L. (2019). A Solution for Secure Certified Electronic Mail Using Blockchain as a Secure Message Board. </w:t>
      </w:r>
      <w:r w:rsidRPr="008F5048">
        <w:rPr>
          <w:i/>
          <w:iCs/>
          <w:sz w:val="20"/>
        </w:rPr>
        <w:t>IEEE Access</w:t>
      </w:r>
      <w:r w:rsidRPr="008F5048">
        <w:rPr>
          <w:sz w:val="20"/>
        </w:rPr>
        <w:t xml:space="preserve">, </w:t>
      </w:r>
      <w:r w:rsidRPr="008F5048">
        <w:rPr>
          <w:i/>
          <w:iCs/>
          <w:sz w:val="20"/>
        </w:rPr>
        <w:t>7</w:t>
      </w:r>
      <w:r w:rsidRPr="008F5048">
        <w:rPr>
          <w:sz w:val="20"/>
        </w:rPr>
        <w:t>, 31330–31341. https://doi.org/10.1109/ACCESS.2019.2902174</w:t>
      </w:r>
    </w:p>
    <w:p w14:paraId="460E8451"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ImaniMehr, Z., &amp; DehghanTakhtFooladi, M. (2019). Token-based incentive mechanism for peer-to-peer video streaming networks. </w:t>
      </w:r>
      <w:r w:rsidRPr="008F5048">
        <w:rPr>
          <w:i/>
          <w:iCs/>
          <w:sz w:val="20"/>
        </w:rPr>
        <w:t>The Journal of Supercomputing</w:t>
      </w:r>
      <w:r w:rsidRPr="008F5048">
        <w:rPr>
          <w:sz w:val="20"/>
        </w:rPr>
        <w:t xml:space="preserve">, </w:t>
      </w:r>
      <w:r w:rsidRPr="008F5048">
        <w:rPr>
          <w:i/>
          <w:iCs/>
          <w:sz w:val="20"/>
        </w:rPr>
        <w:t>75</w:t>
      </w:r>
      <w:r w:rsidRPr="008F5048">
        <w:rPr>
          <w:sz w:val="20"/>
        </w:rPr>
        <w:t>(10), 6612–6631. https://doi.org/10.1007/s11227-019-02863-0</w:t>
      </w:r>
    </w:p>
    <w:p w14:paraId="35F6FC35"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Jung, S. Y., Kim, T., Hwang, H. J., &amp; Hong, K. (2021). Mechanism Design of Health Care Blockchain System Token Economy: Development Study Based on Simulated Real-World Scenarios. </w:t>
      </w:r>
      <w:r w:rsidRPr="008F5048">
        <w:rPr>
          <w:i/>
          <w:iCs/>
          <w:sz w:val="20"/>
        </w:rPr>
        <w:t>Journal of Medical Internet Research</w:t>
      </w:r>
      <w:r w:rsidRPr="008F5048">
        <w:rPr>
          <w:sz w:val="20"/>
        </w:rPr>
        <w:t xml:space="preserve">, </w:t>
      </w:r>
      <w:r w:rsidRPr="008F5048">
        <w:rPr>
          <w:i/>
          <w:iCs/>
          <w:sz w:val="20"/>
        </w:rPr>
        <w:t>23</w:t>
      </w:r>
      <w:r w:rsidRPr="008F5048">
        <w:rPr>
          <w:sz w:val="20"/>
        </w:rPr>
        <w:t>(9), e26802. https://doi.org/10.2196/26802</w:t>
      </w:r>
    </w:p>
    <w:p w14:paraId="5F36537F"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Lee, T., &amp; Chang, H. (2021). A Study on the Effectiveness of Secure Responses to Malicious E-mail. </w:t>
      </w:r>
      <w:r w:rsidRPr="008F5048">
        <w:rPr>
          <w:i/>
          <w:iCs/>
          <w:sz w:val="20"/>
        </w:rPr>
        <w:t>Journal of Platform Technology</w:t>
      </w:r>
      <w:r w:rsidRPr="008F5048">
        <w:rPr>
          <w:sz w:val="20"/>
        </w:rPr>
        <w:t xml:space="preserve">, </w:t>
      </w:r>
      <w:r w:rsidRPr="008F5048">
        <w:rPr>
          <w:i/>
          <w:iCs/>
          <w:sz w:val="20"/>
        </w:rPr>
        <w:t>9</w:t>
      </w:r>
      <w:r w:rsidRPr="008F5048">
        <w:rPr>
          <w:sz w:val="20"/>
        </w:rPr>
        <w:t>(2), 26–37.</w:t>
      </w:r>
    </w:p>
    <w:p w14:paraId="422E0B99"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Li, X., Hess, T. J., &amp; Valacich, J. S. (2008). Why do we trust new technology? A study of initial trust formation with organizational information systems. </w:t>
      </w:r>
      <w:r w:rsidRPr="008F5048">
        <w:rPr>
          <w:i/>
          <w:iCs/>
          <w:sz w:val="20"/>
        </w:rPr>
        <w:t>The Journal of Strategic Information Systems</w:t>
      </w:r>
      <w:r w:rsidRPr="008F5048">
        <w:rPr>
          <w:sz w:val="20"/>
        </w:rPr>
        <w:t xml:space="preserve">, </w:t>
      </w:r>
      <w:r w:rsidRPr="008F5048">
        <w:rPr>
          <w:i/>
          <w:iCs/>
          <w:sz w:val="20"/>
        </w:rPr>
        <w:t>17</w:t>
      </w:r>
      <w:r w:rsidRPr="008F5048">
        <w:rPr>
          <w:sz w:val="20"/>
        </w:rPr>
        <w:t>(1), 39–71. https://doi.org/10.1016/j.jsis.2008.01.001</w:t>
      </w:r>
    </w:p>
    <w:p w14:paraId="7B7FCBF6"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Liu, X., Zou, P., Zhang, W., Zhou, J., Dai, C., Wang, F., &amp; Zhang, X. (2017). CPSFS: A Credible Personalized Spam Filtering Scheme by Crowdsourcing. </w:t>
      </w:r>
      <w:r w:rsidRPr="008F5048">
        <w:rPr>
          <w:i/>
          <w:iCs/>
          <w:sz w:val="20"/>
        </w:rPr>
        <w:t>Wireless Communications and Mobile Computing</w:t>
      </w:r>
      <w:r w:rsidRPr="008F5048">
        <w:rPr>
          <w:sz w:val="20"/>
        </w:rPr>
        <w:t xml:space="preserve">, </w:t>
      </w:r>
      <w:r w:rsidRPr="008F5048">
        <w:rPr>
          <w:i/>
          <w:iCs/>
          <w:sz w:val="20"/>
        </w:rPr>
        <w:t>2017</w:t>
      </w:r>
      <w:r w:rsidRPr="008F5048">
        <w:rPr>
          <w:sz w:val="20"/>
        </w:rPr>
        <w:t>, 1–9. https://doi.org/10.1155/2017/1457870</w:t>
      </w:r>
    </w:p>
    <w:p w14:paraId="70C0A555"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lastRenderedPageBreak/>
        <w:t xml:space="preserve">Moosavi, J., Naeni, L. M., Fathollahi-Fard, A. M., &amp; Fiore, U. (2021). Blockchain in supply chain management: A review, bibliometric, and network analysis. </w:t>
      </w:r>
      <w:r w:rsidRPr="008F5048">
        <w:rPr>
          <w:i/>
          <w:iCs/>
          <w:sz w:val="20"/>
        </w:rPr>
        <w:t>Environmental Science and Pollution Research</w:t>
      </w:r>
      <w:r w:rsidRPr="008F5048">
        <w:rPr>
          <w:sz w:val="20"/>
        </w:rPr>
        <w:t>, 1–15. https://doi.org/10.1007/s11356-021-13094-3</w:t>
      </w:r>
    </w:p>
    <w:p w14:paraId="2993AF95"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Mujtaba, G., Shuib, L., Raj, R. G., &amp; Gunalan, R. (2018). DETECTION OF SUSPICIOUS TERRORIST EMAILS USING TEXT CLASSIFICATION: A REVIEW. </w:t>
      </w:r>
      <w:r w:rsidRPr="008F5048">
        <w:rPr>
          <w:i/>
          <w:iCs/>
          <w:sz w:val="20"/>
        </w:rPr>
        <w:t>Malaysian Journal of Computer Science</w:t>
      </w:r>
      <w:r w:rsidRPr="008F5048">
        <w:rPr>
          <w:sz w:val="20"/>
        </w:rPr>
        <w:t xml:space="preserve">, </w:t>
      </w:r>
      <w:r w:rsidRPr="008F5048">
        <w:rPr>
          <w:i/>
          <w:iCs/>
          <w:sz w:val="20"/>
        </w:rPr>
        <w:t>31</w:t>
      </w:r>
      <w:r w:rsidRPr="008F5048">
        <w:rPr>
          <w:sz w:val="20"/>
        </w:rPr>
        <w:t>(4), 271–299. https://doi.org/10.22452/mjcs.vol31no4.3</w:t>
      </w:r>
    </w:p>
    <w:p w14:paraId="21C3AACB"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Saumya, S., &amp; Singh, J. P. (2022). Spam review detection using LSTM autoencoder: An unsupervised approach. </w:t>
      </w:r>
      <w:r w:rsidRPr="008F5048">
        <w:rPr>
          <w:i/>
          <w:iCs/>
          <w:sz w:val="20"/>
        </w:rPr>
        <w:t>Electronic Commerce Research</w:t>
      </w:r>
      <w:r w:rsidRPr="008F5048">
        <w:rPr>
          <w:sz w:val="20"/>
        </w:rPr>
        <w:t xml:space="preserve">, </w:t>
      </w:r>
      <w:r w:rsidRPr="008F5048">
        <w:rPr>
          <w:i/>
          <w:iCs/>
          <w:sz w:val="20"/>
        </w:rPr>
        <w:t>22</w:t>
      </w:r>
      <w:r w:rsidRPr="008F5048">
        <w:rPr>
          <w:sz w:val="20"/>
        </w:rPr>
        <w:t>(1), 113–133. https://doi.org/10.1007/s10660-020-09413-4</w:t>
      </w:r>
    </w:p>
    <w:p w14:paraId="6A7BE20B"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Shrivas, A. K., Dewangan, A. K., Ghosh, S. M., &amp; Singh, D. (2021). Development of Proposed Ensemble Model for Spam e-mail Classification. </w:t>
      </w:r>
      <w:r w:rsidRPr="008F5048">
        <w:rPr>
          <w:i/>
          <w:iCs/>
          <w:sz w:val="20"/>
        </w:rPr>
        <w:t>Information Technology and Control</w:t>
      </w:r>
      <w:r w:rsidRPr="008F5048">
        <w:rPr>
          <w:sz w:val="20"/>
        </w:rPr>
        <w:t xml:space="preserve">, </w:t>
      </w:r>
      <w:r w:rsidRPr="008F5048">
        <w:rPr>
          <w:i/>
          <w:iCs/>
          <w:sz w:val="20"/>
        </w:rPr>
        <w:t>50</w:t>
      </w:r>
      <w:r w:rsidRPr="008F5048">
        <w:rPr>
          <w:sz w:val="20"/>
        </w:rPr>
        <w:t>(3), Article 3. https://doi.org/10.5755/j01.itc.50.3.27349</w:t>
      </w:r>
    </w:p>
    <w:p w14:paraId="2D9BB7F5"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Thelwall, M. (2018). Can social news websites pay for content and curation? The SteemIt cryptocurrency model. </w:t>
      </w:r>
      <w:r w:rsidRPr="008F5048">
        <w:rPr>
          <w:i/>
          <w:iCs/>
          <w:sz w:val="20"/>
        </w:rPr>
        <w:t>Journal of Information Science</w:t>
      </w:r>
      <w:r w:rsidRPr="008F5048">
        <w:rPr>
          <w:sz w:val="20"/>
        </w:rPr>
        <w:t xml:space="preserve">, </w:t>
      </w:r>
      <w:r w:rsidRPr="008F5048">
        <w:rPr>
          <w:i/>
          <w:iCs/>
          <w:sz w:val="20"/>
        </w:rPr>
        <w:t>44</w:t>
      </w:r>
      <w:r w:rsidRPr="008F5048">
        <w:rPr>
          <w:sz w:val="20"/>
        </w:rPr>
        <w:t>(6), 736–751. https://doi.org/10.1177/0165551517748290</w:t>
      </w:r>
    </w:p>
    <w:p w14:paraId="49ED046D"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Toyoda, K., Zhao, J., Zhang, A. N. S., &amp; Mathiopoulos, P. T. (2020). Blockchain-Enabled Federated Learning With Mechanism Design. </w:t>
      </w:r>
      <w:r w:rsidRPr="008F5048">
        <w:rPr>
          <w:i/>
          <w:iCs/>
          <w:sz w:val="20"/>
        </w:rPr>
        <w:t>IEEE Access</w:t>
      </w:r>
      <w:r w:rsidRPr="008F5048">
        <w:rPr>
          <w:sz w:val="20"/>
        </w:rPr>
        <w:t xml:space="preserve">, </w:t>
      </w:r>
      <w:r w:rsidRPr="008F5048">
        <w:rPr>
          <w:i/>
          <w:iCs/>
          <w:sz w:val="20"/>
        </w:rPr>
        <w:t>8</w:t>
      </w:r>
      <w:r w:rsidRPr="008F5048">
        <w:rPr>
          <w:sz w:val="20"/>
        </w:rPr>
        <w:t>, 219744–219756. https://doi.org/10.1109/ACCESS.2020.3043037</w:t>
      </w:r>
    </w:p>
    <w:p w14:paraId="24CF9BF2"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Wang, J., Zhong, H., Wu, C., Du, E., Xia, Q., &amp; Kang, C. (2019). Incentivizing distributed energy resource aggregation in energy and capacity markets: An energy sharing scheme and mechanism design. </w:t>
      </w:r>
      <w:r w:rsidRPr="008F5048">
        <w:rPr>
          <w:i/>
          <w:iCs/>
          <w:sz w:val="20"/>
        </w:rPr>
        <w:t>Applied Energy</w:t>
      </w:r>
      <w:r w:rsidRPr="008F5048">
        <w:rPr>
          <w:sz w:val="20"/>
        </w:rPr>
        <w:t xml:space="preserve">, </w:t>
      </w:r>
      <w:r w:rsidRPr="008F5048">
        <w:rPr>
          <w:i/>
          <w:iCs/>
          <w:sz w:val="20"/>
        </w:rPr>
        <w:t>252</w:t>
      </w:r>
      <w:r w:rsidRPr="008F5048">
        <w:rPr>
          <w:sz w:val="20"/>
        </w:rPr>
        <w:t>, 113471. https://doi.org/10.1016/j.apenergy.2019.113471</w:t>
      </w:r>
    </w:p>
    <w:p w14:paraId="4B9E5E4B"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Weng, J., Weng, J., Zhang, J., Li, M., Zhang, Y., &amp; Luo, W. (2019). DeepChain: Auditable and Privacy-Preserving Deep Learning with Blockchain-based Incentive. </w:t>
      </w:r>
      <w:r w:rsidRPr="008F5048">
        <w:rPr>
          <w:i/>
          <w:iCs/>
          <w:sz w:val="20"/>
        </w:rPr>
        <w:t>IEEE Transactions on Dependable and Secure Computing</w:t>
      </w:r>
      <w:r w:rsidRPr="008F5048">
        <w:rPr>
          <w:sz w:val="20"/>
        </w:rPr>
        <w:t>, 1–1. https://doi.org/10.1109/TDSC.2019.2952332</w:t>
      </w:r>
    </w:p>
    <w:p w14:paraId="159432BF"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Wood, K. E., &amp; Krasowski, M. D. (2020). Academic E-Mail Overload and the Burden of “Academic Spam.” </w:t>
      </w:r>
      <w:r w:rsidRPr="008F5048">
        <w:rPr>
          <w:i/>
          <w:iCs/>
          <w:sz w:val="20"/>
        </w:rPr>
        <w:t>Academic Pathology</w:t>
      </w:r>
      <w:r w:rsidRPr="008F5048">
        <w:rPr>
          <w:sz w:val="20"/>
        </w:rPr>
        <w:t xml:space="preserve">, </w:t>
      </w:r>
      <w:r w:rsidRPr="008F5048">
        <w:rPr>
          <w:i/>
          <w:iCs/>
          <w:sz w:val="20"/>
        </w:rPr>
        <w:t>7</w:t>
      </w:r>
      <w:r w:rsidRPr="008F5048">
        <w:rPr>
          <w:sz w:val="20"/>
        </w:rPr>
        <w:t>, 2374289519898858. https://doi.org/10.1177/2374289519898858</w:t>
      </w:r>
    </w:p>
    <w:p w14:paraId="716B9882" w14:textId="77777777" w:rsidR="008F5048" w:rsidRPr="008F5048" w:rsidRDefault="008F5048" w:rsidP="00BA536A">
      <w:pPr>
        <w:autoSpaceDE w:val="0"/>
        <w:autoSpaceDN w:val="0"/>
        <w:adjustRightInd w:val="0"/>
        <w:spacing w:after="0" w:line="240" w:lineRule="auto"/>
        <w:ind w:left="539" w:hanging="539"/>
        <w:rPr>
          <w:sz w:val="20"/>
        </w:rPr>
      </w:pPr>
      <w:r w:rsidRPr="008F5048">
        <w:rPr>
          <w:sz w:val="20"/>
        </w:rPr>
        <w:t xml:space="preserve">Zhao, C., Xin, Y., Li, X., Yang, Y., &amp; Chen, Y. (2020). A Heterogeneous Ensemble Learning Framework for Spam Detection in Social Networks with Imbalanced Data. </w:t>
      </w:r>
      <w:r w:rsidRPr="008F5048">
        <w:rPr>
          <w:i/>
          <w:iCs/>
          <w:sz w:val="20"/>
        </w:rPr>
        <w:t>Applied Sciences</w:t>
      </w:r>
      <w:r w:rsidRPr="008F5048">
        <w:rPr>
          <w:sz w:val="20"/>
        </w:rPr>
        <w:t xml:space="preserve">, </w:t>
      </w:r>
      <w:r w:rsidRPr="008F5048">
        <w:rPr>
          <w:i/>
          <w:iCs/>
          <w:sz w:val="20"/>
        </w:rPr>
        <w:t>10</w:t>
      </w:r>
      <w:r w:rsidRPr="008F5048">
        <w:rPr>
          <w:sz w:val="20"/>
        </w:rPr>
        <w:t>(3), 936. https://doi.org/10.3390/app10030936</w:t>
      </w:r>
    </w:p>
    <w:p w14:paraId="1A540F70" w14:textId="7D25536B" w:rsidR="00B9550D" w:rsidRPr="004452A0" w:rsidRDefault="004452A0" w:rsidP="00BA536A">
      <w:pPr>
        <w:pStyle w:val="1"/>
        <w:spacing w:line="240" w:lineRule="auto"/>
        <w:ind w:left="539" w:hanging="539"/>
      </w:pPr>
      <w:r w:rsidRPr="000319E7">
        <w:fldChar w:fldCharType="end"/>
      </w:r>
    </w:p>
    <w:sectPr w:rsidR="00B9550D" w:rsidRPr="004452A0" w:rsidSect="00CC6F47">
      <w:headerReference w:type="default" r:id="rId12"/>
      <w:footerReference w:type="even" r:id="rId13"/>
      <w:footerReference w:type="default" r:id="rId14"/>
      <w:headerReference w:type="first" r:id="rId15"/>
      <w:footerReference w:type="first" r:id="rId16"/>
      <w:pgSz w:w="11907" w:h="16839" w:code="9"/>
      <w:pgMar w:top="1134" w:right="851" w:bottom="1134" w:left="851" w:header="40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3705F" w14:textId="77777777" w:rsidR="004D055E" w:rsidRDefault="004D055E" w:rsidP="00F839AF">
      <w:pPr>
        <w:spacing w:after="0" w:line="240" w:lineRule="auto"/>
      </w:pPr>
      <w:r>
        <w:separator/>
      </w:r>
    </w:p>
  </w:endnote>
  <w:endnote w:type="continuationSeparator" w:id="0">
    <w:p w14:paraId="4F6945AE" w14:textId="77777777" w:rsidR="004D055E" w:rsidRDefault="004D055E" w:rsidP="00F839AF">
      <w:pPr>
        <w:spacing w:after="0" w:line="240" w:lineRule="auto"/>
      </w:pPr>
      <w:r>
        <w:continuationSeparator/>
      </w:r>
    </w:p>
  </w:endnote>
  <w:endnote w:type="continuationNotice" w:id="1">
    <w:p w14:paraId="4A60DCC2" w14:textId="77777777" w:rsidR="004D055E" w:rsidRDefault="004D05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DFKai-SB">
    <w:altName w:val="微软雅黑"/>
    <w:panose1 w:val="020B0604020202020204"/>
    <w:charset w:val="88"/>
    <w:family w:val="auto"/>
    <w:pitch w:val="variable"/>
    <w:sig w:usb0="00000001" w:usb1="08080000" w:usb2="00000010"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FC4F" w14:textId="77777777" w:rsidR="00254C01" w:rsidRDefault="00254C01">
    <w:pPr>
      <w:pStyle w:val="a5"/>
    </w:pPr>
  </w:p>
  <w:p w14:paraId="2DBA48E7" w14:textId="77777777" w:rsidR="009B13BB" w:rsidRDefault="009B13BB"/>
  <w:p w14:paraId="5E8B9677" w14:textId="77777777" w:rsidR="009B13BB" w:rsidRDefault="009B13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9EBC1" w14:textId="77777777" w:rsidR="00F94965" w:rsidRPr="007A3B39" w:rsidRDefault="00F94965" w:rsidP="00F94965">
    <w:pPr>
      <w:pStyle w:val="a5"/>
      <w:jc w:val="center"/>
      <w:rPr>
        <w:i/>
        <w:sz w:val="20"/>
        <w:lang w:val="en-GB"/>
      </w:rPr>
    </w:pPr>
    <w:r w:rsidRPr="00CF7E52">
      <w:rPr>
        <w:i/>
        <w:sz w:val="20"/>
      </w:rPr>
      <w:t xml:space="preserve">The </w:t>
    </w:r>
    <w:r>
      <w:rPr>
        <w:i/>
        <w:sz w:val="20"/>
        <w:lang w:val="en-US"/>
      </w:rPr>
      <w:t>22</w:t>
    </w:r>
    <w:r w:rsidRPr="00F94965">
      <w:rPr>
        <w:i/>
        <w:sz w:val="20"/>
        <w:vertAlign w:val="superscript"/>
        <w:lang w:val="en-US"/>
      </w:rPr>
      <w:t>nd</w:t>
    </w:r>
    <w:r>
      <w:rPr>
        <w:i/>
        <w:sz w:val="20"/>
        <w:lang w:val="en-US"/>
      </w:rPr>
      <w:t xml:space="preserve"> </w:t>
    </w:r>
    <w:r w:rsidRPr="00CF7E52">
      <w:rPr>
        <w:i/>
        <w:sz w:val="20"/>
      </w:rPr>
      <w:t xml:space="preserve">International </w:t>
    </w:r>
    <w:r w:rsidRPr="00170C78">
      <w:rPr>
        <w:i/>
        <w:sz w:val="20"/>
      </w:rPr>
      <w:t>Conference on Electronic Business,</w:t>
    </w:r>
    <w:r w:rsidRPr="00170C78">
      <w:rPr>
        <w:i/>
        <w:sz w:val="20"/>
        <w:lang w:val="en-US"/>
      </w:rPr>
      <w:t xml:space="preserve"> </w:t>
    </w:r>
    <w:r>
      <w:rPr>
        <w:i/>
        <w:sz w:val="20"/>
        <w:lang w:val="en-US"/>
      </w:rPr>
      <w:t>Bangkok</w:t>
    </w:r>
    <w:r w:rsidRPr="00170C78">
      <w:rPr>
        <w:i/>
        <w:sz w:val="20"/>
        <w:lang w:val="en-US"/>
      </w:rPr>
      <w:t xml:space="preserve">, </w:t>
    </w:r>
    <w:r>
      <w:rPr>
        <w:i/>
        <w:sz w:val="20"/>
        <w:lang w:val="en-US"/>
      </w:rPr>
      <w:t>Thailand</w:t>
    </w:r>
    <w:r w:rsidRPr="00170C78">
      <w:rPr>
        <w:i/>
        <w:sz w:val="20"/>
      </w:rPr>
      <w:t xml:space="preserve">, </w:t>
    </w:r>
    <w:r>
      <w:rPr>
        <w:i/>
        <w:sz w:val="20"/>
        <w:lang w:val="en-US"/>
      </w:rPr>
      <w:t>October</w:t>
    </w:r>
    <w:r w:rsidRPr="00170C78">
      <w:rPr>
        <w:i/>
        <w:sz w:val="20"/>
        <w:lang w:val="en-US"/>
      </w:rPr>
      <w:t xml:space="preserve"> </w:t>
    </w:r>
    <w:r>
      <w:rPr>
        <w:i/>
        <w:sz w:val="20"/>
        <w:lang w:val="en-US"/>
      </w:rPr>
      <w:t>13</w:t>
    </w:r>
    <w:r w:rsidRPr="00170C78">
      <w:rPr>
        <w:i/>
        <w:sz w:val="20"/>
        <w:lang w:val="en-US"/>
      </w:rPr>
      <w:t>-</w:t>
    </w:r>
    <w:r>
      <w:rPr>
        <w:i/>
        <w:sz w:val="20"/>
        <w:lang w:val="en-US"/>
      </w:rPr>
      <w:t>17</w:t>
    </w:r>
    <w:r w:rsidRPr="00170C78">
      <w:rPr>
        <w:i/>
        <w:sz w:val="20"/>
        <w:lang w:val="en-US"/>
      </w:rPr>
      <w:t>, 202</w:t>
    </w:r>
    <w:r>
      <w:rPr>
        <w:i/>
        <w:sz w:val="20"/>
        <w:lang w:val="en-US"/>
      </w:rPr>
      <w:t>2</w:t>
    </w:r>
  </w:p>
  <w:p w14:paraId="6FA6113E" w14:textId="77777777" w:rsidR="00CF7E52" w:rsidRPr="00CF7E52" w:rsidRDefault="00CF7E52" w:rsidP="00CF7E52">
    <w:pPr>
      <w:pStyle w:val="a5"/>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008C61AD" w:rsidRPr="008C61AD">
      <w:rPr>
        <w:noProof/>
        <w:sz w:val="20"/>
        <w:lang w:val="zh-TW"/>
      </w:rPr>
      <w:t>5</w:t>
    </w:r>
    <w:r w:rsidRPr="00CF7E52">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1DA1" w14:textId="77777777" w:rsidR="00CF7E52" w:rsidRPr="007A3B39" w:rsidRDefault="00254C01" w:rsidP="00CF7E52">
    <w:pPr>
      <w:pStyle w:val="a5"/>
      <w:jc w:val="center"/>
      <w:rPr>
        <w:i/>
        <w:sz w:val="20"/>
        <w:lang w:val="en-GB"/>
      </w:rPr>
    </w:pPr>
    <w:r w:rsidRPr="00CF7E52">
      <w:rPr>
        <w:i/>
        <w:sz w:val="20"/>
      </w:rPr>
      <w:t xml:space="preserve">The </w:t>
    </w:r>
    <w:r w:rsidR="00061CB7">
      <w:rPr>
        <w:i/>
        <w:sz w:val="20"/>
        <w:lang w:val="en-US"/>
      </w:rPr>
      <w:t>2</w:t>
    </w:r>
    <w:r w:rsidR="00F94965">
      <w:rPr>
        <w:i/>
        <w:sz w:val="20"/>
        <w:lang w:val="en-US"/>
      </w:rPr>
      <w:t>2</w:t>
    </w:r>
    <w:r w:rsidR="00F94965" w:rsidRPr="00F94965">
      <w:rPr>
        <w:i/>
        <w:sz w:val="20"/>
        <w:vertAlign w:val="superscript"/>
        <w:lang w:val="en-US"/>
      </w:rPr>
      <w:t>nd</w:t>
    </w:r>
    <w:r w:rsidR="00F94965">
      <w:rPr>
        <w:i/>
        <w:sz w:val="20"/>
        <w:lang w:val="en-US"/>
      </w:rPr>
      <w:t xml:space="preserve"> </w:t>
    </w:r>
    <w:r w:rsidRPr="00CF7E52">
      <w:rPr>
        <w:i/>
        <w:sz w:val="20"/>
      </w:rPr>
      <w:t xml:space="preserve">International </w:t>
    </w:r>
    <w:r w:rsidRPr="00170C78">
      <w:rPr>
        <w:i/>
        <w:sz w:val="20"/>
      </w:rPr>
      <w:t>Conference on Electronic Business,</w:t>
    </w:r>
    <w:r w:rsidR="00061CB7" w:rsidRPr="00170C78">
      <w:rPr>
        <w:i/>
        <w:sz w:val="20"/>
        <w:lang w:val="en-US"/>
      </w:rPr>
      <w:t xml:space="preserve"> </w:t>
    </w:r>
    <w:r w:rsidR="00F94965">
      <w:rPr>
        <w:i/>
        <w:sz w:val="20"/>
        <w:lang w:val="en-US"/>
      </w:rPr>
      <w:t>Bangkok</w:t>
    </w:r>
    <w:r w:rsidR="00AE041E" w:rsidRPr="00170C78">
      <w:rPr>
        <w:i/>
        <w:sz w:val="20"/>
        <w:lang w:val="en-US"/>
      </w:rPr>
      <w:t>,</w:t>
    </w:r>
    <w:r w:rsidR="00061CB7" w:rsidRPr="00170C78">
      <w:rPr>
        <w:i/>
        <w:sz w:val="20"/>
        <w:lang w:val="en-US"/>
      </w:rPr>
      <w:t xml:space="preserve"> </w:t>
    </w:r>
    <w:r w:rsidR="00F94965">
      <w:rPr>
        <w:i/>
        <w:sz w:val="20"/>
        <w:lang w:val="en-US"/>
      </w:rPr>
      <w:t>Thailand</w:t>
    </w:r>
    <w:r w:rsidRPr="00170C78">
      <w:rPr>
        <w:i/>
        <w:sz w:val="20"/>
      </w:rPr>
      <w:t xml:space="preserve">, </w:t>
    </w:r>
    <w:r w:rsidR="00F94965">
      <w:rPr>
        <w:i/>
        <w:sz w:val="20"/>
        <w:lang w:val="en-US"/>
      </w:rPr>
      <w:t>October</w:t>
    </w:r>
    <w:r w:rsidR="00061CB7" w:rsidRPr="00170C78">
      <w:rPr>
        <w:i/>
        <w:sz w:val="20"/>
        <w:lang w:val="en-US"/>
      </w:rPr>
      <w:t xml:space="preserve"> </w:t>
    </w:r>
    <w:r w:rsidR="00F94965">
      <w:rPr>
        <w:i/>
        <w:sz w:val="20"/>
        <w:lang w:val="en-US"/>
      </w:rPr>
      <w:t>1</w:t>
    </w:r>
    <w:r w:rsidR="00F05DEF">
      <w:rPr>
        <w:i/>
        <w:sz w:val="20"/>
        <w:lang w:val="en-US"/>
      </w:rPr>
      <w:t>3</w:t>
    </w:r>
    <w:r w:rsidR="00061CB7" w:rsidRPr="00170C78">
      <w:rPr>
        <w:i/>
        <w:sz w:val="20"/>
        <w:lang w:val="en-US"/>
      </w:rPr>
      <w:t>-</w:t>
    </w:r>
    <w:r w:rsidR="00F94965">
      <w:rPr>
        <w:i/>
        <w:sz w:val="20"/>
        <w:lang w:val="en-US"/>
      </w:rPr>
      <w:t>1</w:t>
    </w:r>
    <w:r w:rsidR="00F05DEF">
      <w:rPr>
        <w:i/>
        <w:sz w:val="20"/>
        <w:lang w:val="en-US"/>
      </w:rPr>
      <w:t>7</w:t>
    </w:r>
    <w:r w:rsidR="00061CB7" w:rsidRPr="00170C78">
      <w:rPr>
        <w:i/>
        <w:sz w:val="20"/>
        <w:lang w:val="en-US"/>
      </w:rPr>
      <w:t>, 202</w:t>
    </w:r>
    <w:r w:rsidR="00F94965">
      <w:rPr>
        <w:i/>
        <w:sz w:val="20"/>
        <w:lang w:val="en-US"/>
      </w:rPr>
      <w:t>2</w:t>
    </w:r>
  </w:p>
  <w:p w14:paraId="2D316D13" w14:textId="77777777" w:rsidR="00CF7E52" w:rsidRPr="00CF7E52" w:rsidRDefault="00CF7E52" w:rsidP="00CF7E52">
    <w:pPr>
      <w:pStyle w:val="a5"/>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008C61AD" w:rsidRPr="008C61AD">
      <w:rPr>
        <w:noProof/>
        <w:sz w:val="20"/>
        <w:lang w:val="zh-TW"/>
      </w:rPr>
      <w:t>1</w:t>
    </w:r>
    <w:r w:rsidRPr="00CF7E52">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27ADB" w14:textId="77777777" w:rsidR="004D055E" w:rsidRDefault="004D055E" w:rsidP="00F839AF">
      <w:pPr>
        <w:spacing w:after="0" w:line="240" w:lineRule="auto"/>
      </w:pPr>
      <w:r>
        <w:separator/>
      </w:r>
    </w:p>
  </w:footnote>
  <w:footnote w:type="continuationSeparator" w:id="0">
    <w:p w14:paraId="138A1958" w14:textId="77777777" w:rsidR="004D055E" w:rsidRDefault="004D055E" w:rsidP="00F839AF">
      <w:pPr>
        <w:spacing w:after="0" w:line="240" w:lineRule="auto"/>
      </w:pPr>
      <w:r>
        <w:continuationSeparator/>
      </w:r>
    </w:p>
  </w:footnote>
  <w:footnote w:type="continuationNotice" w:id="1">
    <w:p w14:paraId="3EAF785D" w14:textId="77777777" w:rsidR="004D055E" w:rsidRDefault="004D05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A582" w14:textId="35573D1E" w:rsidR="00044354" w:rsidRPr="00B55488" w:rsidRDefault="00044354" w:rsidP="00044354">
    <w:pPr>
      <w:pStyle w:val="a3"/>
      <w:tabs>
        <w:tab w:val="clear" w:pos="4320"/>
      </w:tabs>
      <w:wordWrap w:val="0"/>
      <w:jc w:val="right"/>
      <w:rPr>
        <w:i/>
        <w:sz w:val="20"/>
        <w:lang w:val="en-US" w:eastAsia="zh-TW"/>
      </w:rPr>
    </w:pPr>
    <w:r>
      <w:rPr>
        <w:i/>
        <w:sz w:val="20"/>
        <w:lang w:val="en-US" w:eastAsia="zh-TW"/>
      </w:rPr>
      <w:t>X</w:t>
    </w:r>
    <w:r w:rsidR="008A78BD">
      <w:rPr>
        <w:i/>
        <w:sz w:val="20"/>
        <w:lang w:val="en-US" w:eastAsia="zh-TW"/>
      </w:rPr>
      <w:t>u</w:t>
    </w:r>
    <w:r>
      <w:rPr>
        <w:i/>
        <w:sz w:val="20"/>
        <w:lang w:val="en-US" w:eastAsia="zh-TW"/>
      </w:rPr>
      <w:t>,</w:t>
    </w:r>
    <w:r w:rsidRPr="00B55488">
      <w:rPr>
        <w:i/>
        <w:sz w:val="20"/>
        <w:lang w:val="en-US" w:eastAsia="zh-TW"/>
      </w:rPr>
      <w:t xml:space="preserve"> </w:t>
    </w:r>
    <w:r w:rsidR="008A78BD">
      <w:rPr>
        <w:i/>
        <w:sz w:val="20"/>
        <w:lang w:val="en-US" w:eastAsia="zh-TW"/>
      </w:rPr>
      <w:t>Tian</w:t>
    </w:r>
    <w:r>
      <w:rPr>
        <w:i/>
        <w:sz w:val="20"/>
        <w:lang w:val="en-US" w:eastAsia="zh-TW"/>
      </w:rPr>
      <w:t xml:space="preserve"> </w:t>
    </w:r>
    <w:r w:rsidRPr="00B55488">
      <w:rPr>
        <w:i/>
        <w:sz w:val="20"/>
        <w:lang w:val="en-US" w:eastAsia="zh-TW"/>
      </w:rPr>
      <w:t>&amp;</w:t>
    </w:r>
    <w:r>
      <w:rPr>
        <w:i/>
        <w:sz w:val="20"/>
        <w:lang w:val="en-US" w:eastAsia="zh-TW"/>
      </w:rPr>
      <w:t xml:space="preserve"> </w:t>
    </w:r>
    <w:r w:rsidR="008A78BD">
      <w:rPr>
        <w:i/>
        <w:sz w:val="20"/>
        <w:lang w:val="en-US" w:eastAsia="zh-TW"/>
      </w:rPr>
      <w:t>Li</w:t>
    </w:r>
  </w:p>
  <w:p w14:paraId="2237D343" w14:textId="77777777" w:rsidR="0026486F" w:rsidRPr="007F37D4" w:rsidRDefault="0026486F" w:rsidP="007F37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0443" w:type="dxa"/>
      <w:tblLook w:val="04A0" w:firstRow="1" w:lastRow="0" w:firstColumn="1" w:lastColumn="0" w:noHBand="0" w:noVBand="1"/>
    </w:tblPr>
    <w:tblGrid>
      <w:gridCol w:w="5119"/>
      <w:gridCol w:w="5119"/>
      <w:gridCol w:w="5119"/>
      <w:gridCol w:w="5086"/>
    </w:tblGrid>
    <w:tr w:rsidR="00044354" w:rsidRPr="003540CD" w14:paraId="375FCDBF" w14:textId="77777777" w:rsidTr="00044354">
      <w:tc>
        <w:tcPr>
          <w:tcW w:w="5119" w:type="dxa"/>
        </w:tcPr>
        <w:p w14:paraId="39338209" w14:textId="3B386E32" w:rsidR="00044354" w:rsidRDefault="00422DC9" w:rsidP="00044354">
          <w:pPr>
            <w:pStyle w:val="a5"/>
            <w:jc w:val="both"/>
            <w:rPr>
              <w:sz w:val="20"/>
              <w:lang w:val="en-US" w:eastAsia="zh-TW"/>
            </w:rPr>
          </w:pPr>
          <w:r>
            <w:rPr>
              <w:sz w:val="20"/>
              <w:lang w:val="en-US" w:eastAsia="zh-TW"/>
            </w:rPr>
            <w:t>Xu, X. Y</w:t>
          </w:r>
          <w:r w:rsidR="00044354" w:rsidRPr="00B55488">
            <w:rPr>
              <w:sz w:val="20"/>
              <w:lang w:val="en-US" w:eastAsia="zh-TW"/>
            </w:rPr>
            <w:t>.</w:t>
          </w:r>
          <w:r w:rsidR="00044354">
            <w:rPr>
              <w:sz w:val="20"/>
              <w:lang w:val="en-US" w:eastAsia="zh-TW"/>
            </w:rPr>
            <w:t>,</w:t>
          </w:r>
          <w:r w:rsidR="00044354" w:rsidRPr="00B55488">
            <w:rPr>
              <w:sz w:val="20"/>
              <w:lang w:val="en-US" w:eastAsia="zh-TW"/>
            </w:rPr>
            <w:t xml:space="preserve"> </w:t>
          </w:r>
          <w:r>
            <w:rPr>
              <w:sz w:val="20"/>
              <w:lang w:val="en-US" w:eastAsia="zh-TW"/>
            </w:rPr>
            <w:t>Tian</w:t>
          </w:r>
          <w:r w:rsidR="00044354" w:rsidRPr="00B55488">
            <w:rPr>
              <w:sz w:val="20"/>
              <w:lang w:val="en-US" w:eastAsia="zh-TW"/>
            </w:rPr>
            <w:t xml:space="preserve">, </w:t>
          </w:r>
          <w:r>
            <w:rPr>
              <w:sz w:val="20"/>
              <w:lang w:val="en-US" w:eastAsia="zh-TW"/>
            </w:rPr>
            <w:t>M</w:t>
          </w:r>
          <w:r w:rsidR="00044354">
            <w:rPr>
              <w:sz w:val="20"/>
              <w:lang w:val="en-US" w:eastAsia="zh-TW"/>
            </w:rPr>
            <w:t>.</w:t>
          </w:r>
          <w:r>
            <w:rPr>
              <w:sz w:val="20"/>
              <w:lang w:val="en-US" w:eastAsia="zh-TW"/>
            </w:rPr>
            <w:t>H</w:t>
          </w:r>
          <w:r w:rsidR="00044354" w:rsidRPr="00B55488">
            <w:rPr>
              <w:sz w:val="20"/>
              <w:lang w:val="en-US" w:eastAsia="zh-TW"/>
            </w:rPr>
            <w:t>.</w:t>
          </w:r>
          <w:r w:rsidR="00044354">
            <w:rPr>
              <w:sz w:val="20"/>
              <w:lang w:val="en-US" w:eastAsia="zh-TW"/>
            </w:rPr>
            <w:t xml:space="preserve">, </w:t>
          </w:r>
          <w:r w:rsidR="00044354" w:rsidRPr="00B55488">
            <w:rPr>
              <w:sz w:val="20"/>
              <w:lang w:val="en-US" w:eastAsia="zh-TW"/>
            </w:rPr>
            <w:t xml:space="preserve">&amp; </w:t>
          </w:r>
          <w:r>
            <w:rPr>
              <w:sz w:val="20"/>
              <w:lang w:val="en-US" w:eastAsia="zh-TW"/>
            </w:rPr>
            <w:t>Li</w:t>
          </w:r>
          <w:r w:rsidR="00044354">
            <w:rPr>
              <w:sz w:val="20"/>
              <w:lang w:val="en-US" w:eastAsia="zh-TW"/>
            </w:rPr>
            <w:t>, Z.</w:t>
          </w:r>
          <w:r>
            <w:rPr>
              <w:sz w:val="20"/>
              <w:lang w:val="en-US" w:eastAsia="zh-TW"/>
            </w:rPr>
            <w:t>H</w:t>
          </w:r>
          <w:r w:rsidR="00044354">
            <w:rPr>
              <w:sz w:val="20"/>
              <w:lang w:val="en-US" w:eastAsia="zh-TW"/>
            </w:rPr>
            <w:t xml:space="preserve">. </w:t>
          </w:r>
          <w:r w:rsidR="00044354" w:rsidRPr="00B55488">
            <w:rPr>
              <w:sz w:val="20"/>
              <w:lang w:val="en-US" w:eastAsia="zh-TW"/>
            </w:rPr>
            <w:t>(20</w:t>
          </w:r>
          <w:r w:rsidR="00044354">
            <w:rPr>
              <w:sz w:val="20"/>
              <w:lang w:val="en-US" w:eastAsia="zh-TW"/>
            </w:rPr>
            <w:t>22</w:t>
          </w:r>
          <w:r w:rsidR="00044354" w:rsidRPr="00B55488">
            <w:rPr>
              <w:sz w:val="20"/>
              <w:lang w:val="en-US" w:eastAsia="zh-TW"/>
            </w:rPr>
            <w:t xml:space="preserve">). </w:t>
          </w:r>
          <w:r w:rsidR="00BF6AC1" w:rsidRPr="00BF6AC1">
            <w:rPr>
              <w:sz w:val="20"/>
              <w:lang w:val="en-US" w:eastAsia="zh-TW"/>
            </w:rPr>
            <w:t>Improving Spam Filtering in Enterprise Email Systems with Blockchain-Based Token Incentive Mechanism</w:t>
          </w:r>
          <w:r w:rsidR="00044354" w:rsidRPr="00B55488">
            <w:rPr>
              <w:sz w:val="20"/>
              <w:lang w:val="en-US" w:eastAsia="zh-TW"/>
            </w:rPr>
            <w:t xml:space="preserve">. In </w:t>
          </w:r>
          <w:r w:rsidR="00044354" w:rsidRPr="00B55488">
            <w:rPr>
              <w:i/>
              <w:sz w:val="20"/>
              <w:lang w:val="en-US" w:eastAsia="zh-TW"/>
            </w:rPr>
            <w:t xml:space="preserve">Proceedings of </w:t>
          </w:r>
          <w:r w:rsidR="00044354">
            <w:rPr>
              <w:i/>
              <w:sz w:val="20"/>
              <w:lang w:val="en-US" w:eastAsia="zh-TW"/>
            </w:rPr>
            <w:t xml:space="preserve">The </w:t>
          </w:r>
          <w:r w:rsidR="00044354" w:rsidRPr="00170C78">
            <w:rPr>
              <w:i/>
              <w:sz w:val="20"/>
            </w:rPr>
            <w:t xml:space="preserve">International Conference on Electronic </w:t>
          </w:r>
          <w:r w:rsidR="00044354" w:rsidRPr="00056ADE">
            <w:rPr>
              <w:i/>
              <w:sz w:val="20"/>
            </w:rPr>
            <w:t>Business</w:t>
          </w:r>
          <w:r w:rsidR="00044354" w:rsidRPr="00056ADE">
            <w:rPr>
              <w:i/>
              <w:sz w:val="20"/>
              <w:lang w:val="en-US"/>
            </w:rPr>
            <w:t>, Volume 2</w:t>
          </w:r>
          <w:r w:rsidR="00044354">
            <w:rPr>
              <w:i/>
              <w:sz w:val="20"/>
              <w:lang w:val="en-US"/>
            </w:rPr>
            <w:t>2</w:t>
          </w:r>
          <w:r w:rsidR="00044354" w:rsidRPr="00056ADE">
            <w:rPr>
              <w:i/>
              <w:sz w:val="20"/>
              <w:lang w:val="en-US"/>
            </w:rPr>
            <w:t xml:space="preserve"> </w:t>
          </w:r>
          <w:r w:rsidR="00044354" w:rsidRPr="00056ADE">
            <w:rPr>
              <w:sz w:val="20"/>
              <w:lang w:val="en-US" w:eastAsia="zh-TW"/>
            </w:rPr>
            <w:t>(pp.</w:t>
          </w:r>
          <w:r w:rsidR="00044354" w:rsidRPr="00170C78">
            <w:rPr>
              <w:sz w:val="20"/>
              <w:lang w:val="en-US" w:eastAsia="zh-TW"/>
            </w:rPr>
            <w:t xml:space="preserve"> xxx-xxx). ICEB’2</w:t>
          </w:r>
          <w:r w:rsidR="00044354">
            <w:rPr>
              <w:sz w:val="20"/>
              <w:lang w:val="en-US" w:eastAsia="zh-TW"/>
            </w:rPr>
            <w:t>2</w:t>
          </w:r>
          <w:r w:rsidR="00044354" w:rsidRPr="00170C78">
            <w:rPr>
              <w:sz w:val="20"/>
              <w:lang w:val="en-US" w:eastAsia="zh-TW"/>
            </w:rPr>
            <w:t>,</w:t>
          </w:r>
          <w:r w:rsidR="00044354" w:rsidRPr="00170C78">
            <w:rPr>
              <w:i/>
              <w:sz w:val="20"/>
              <w:lang w:val="en-US"/>
            </w:rPr>
            <w:t xml:space="preserve"> </w:t>
          </w:r>
          <w:r w:rsidR="00044354">
            <w:rPr>
              <w:sz w:val="20"/>
              <w:lang w:val="en-US"/>
            </w:rPr>
            <w:t>Bangkok</w:t>
          </w:r>
          <w:r w:rsidR="00044354" w:rsidRPr="00170C78">
            <w:rPr>
              <w:sz w:val="20"/>
              <w:lang w:val="en-US"/>
            </w:rPr>
            <w:t xml:space="preserve">, </w:t>
          </w:r>
          <w:r w:rsidR="00044354">
            <w:rPr>
              <w:sz w:val="20"/>
              <w:lang w:val="en-US"/>
            </w:rPr>
            <w:t>Thailand</w:t>
          </w:r>
          <w:r w:rsidR="00044354" w:rsidRPr="00170C78">
            <w:rPr>
              <w:sz w:val="20"/>
            </w:rPr>
            <w:t xml:space="preserve">, </w:t>
          </w:r>
          <w:r w:rsidR="00044354">
            <w:rPr>
              <w:sz w:val="20"/>
              <w:lang w:val="en-US"/>
            </w:rPr>
            <w:t>October</w:t>
          </w:r>
          <w:r w:rsidR="00044354" w:rsidRPr="00170C78">
            <w:rPr>
              <w:sz w:val="20"/>
              <w:lang w:val="en-US"/>
            </w:rPr>
            <w:t xml:space="preserve"> </w:t>
          </w:r>
          <w:r w:rsidR="00044354">
            <w:rPr>
              <w:sz w:val="20"/>
              <w:lang w:val="en-US"/>
            </w:rPr>
            <w:t>13</w:t>
          </w:r>
          <w:r w:rsidR="00044354" w:rsidRPr="00170C78">
            <w:rPr>
              <w:sz w:val="20"/>
              <w:lang w:val="en-US"/>
            </w:rPr>
            <w:t>-</w:t>
          </w:r>
          <w:r w:rsidR="00044354">
            <w:rPr>
              <w:sz w:val="20"/>
              <w:lang w:val="en-US"/>
            </w:rPr>
            <w:t>17</w:t>
          </w:r>
          <w:r w:rsidR="00044354" w:rsidRPr="00170C78">
            <w:rPr>
              <w:sz w:val="20"/>
              <w:lang w:val="en-US"/>
            </w:rPr>
            <w:t>, 202</w:t>
          </w:r>
          <w:r w:rsidR="00044354">
            <w:rPr>
              <w:sz w:val="20"/>
              <w:lang w:val="en-US"/>
            </w:rPr>
            <w:t>2</w:t>
          </w:r>
          <w:r w:rsidR="00044354" w:rsidRPr="00170C78">
            <w:rPr>
              <w:sz w:val="20"/>
              <w:lang w:val="en-US" w:eastAsia="zh-TW"/>
            </w:rPr>
            <w:t>.</w:t>
          </w:r>
        </w:p>
      </w:tc>
      <w:tc>
        <w:tcPr>
          <w:tcW w:w="5119" w:type="dxa"/>
        </w:tcPr>
        <w:p w14:paraId="2343E5B8" w14:textId="5C1BF6E1" w:rsidR="00044354" w:rsidRPr="00B55488" w:rsidRDefault="00557315" w:rsidP="00044354">
          <w:pPr>
            <w:pStyle w:val="a5"/>
            <w:jc w:val="right"/>
            <w:rPr>
              <w:sz w:val="20"/>
              <w:lang w:val="en-US" w:eastAsia="zh-TW"/>
            </w:rPr>
          </w:pPr>
          <w:r>
            <w:rPr>
              <w:i/>
              <w:sz w:val="20"/>
              <w:lang w:val="en-US" w:eastAsia="zh-TW"/>
            </w:rPr>
            <w:t>Xu</w:t>
          </w:r>
          <w:r w:rsidR="00044354">
            <w:rPr>
              <w:i/>
              <w:sz w:val="20"/>
              <w:lang w:val="en-US" w:eastAsia="zh-TW"/>
            </w:rPr>
            <w:t>,</w:t>
          </w:r>
          <w:r w:rsidR="00044354" w:rsidRPr="00B55488">
            <w:rPr>
              <w:i/>
              <w:sz w:val="20"/>
              <w:lang w:val="en-US" w:eastAsia="zh-TW"/>
            </w:rPr>
            <w:t xml:space="preserve"> </w:t>
          </w:r>
          <w:r>
            <w:rPr>
              <w:i/>
              <w:sz w:val="20"/>
              <w:lang w:val="en-US" w:eastAsia="zh-TW"/>
            </w:rPr>
            <w:t>Tian</w:t>
          </w:r>
          <w:r w:rsidR="00044354">
            <w:rPr>
              <w:i/>
              <w:sz w:val="20"/>
              <w:lang w:val="en-US" w:eastAsia="zh-TW"/>
            </w:rPr>
            <w:t xml:space="preserve"> </w:t>
          </w:r>
          <w:r w:rsidR="00044354" w:rsidRPr="00B55488">
            <w:rPr>
              <w:i/>
              <w:sz w:val="20"/>
              <w:lang w:val="en-US" w:eastAsia="zh-TW"/>
            </w:rPr>
            <w:t>&amp;</w:t>
          </w:r>
          <w:r w:rsidR="00044354">
            <w:rPr>
              <w:i/>
              <w:sz w:val="20"/>
              <w:lang w:val="en-US" w:eastAsia="zh-TW"/>
            </w:rPr>
            <w:t xml:space="preserve"> </w:t>
          </w:r>
          <w:r>
            <w:rPr>
              <w:i/>
              <w:sz w:val="20"/>
              <w:lang w:val="en-US" w:eastAsia="zh-TW"/>
            </w:rPr>
            <w:t>Li</w:t>
          </w:r>
        </w:p>
      </w:tc>
      <w:tc>
        <w:tcPr>
          <w:tcW w:w="5119" w:type="dxa"/>
          <w:shd w:val="clear" w:color="auto" w:fill="auto"/>
        </w:tcPr>
        <w:p w14:paraId="3444EB49" w14:textId="7E47CB01" w:rsidR="00044354" w:rsidRPr="00B55488" w:rsidRDefault="00044354" w:rsidP="00044354">
          <w:pPr>
            <w:pStyle w:val="a5"/>
            <w:jc w:val="both"/>
            <w:rPr>
              <w:sz w:val="20"/>
              <w:lang w:val="en-US" w:eastAsia="zh-TW"/>
            </w:rPr>
          </w:pPr>
          <w:bookmarkStart w:id="79" w:name="_Hlk113559137"/>
        </w:p>
      </w:tc>
      <w:tc>
        <w:tcPr>
          <w:tcW w:w="5086" w:type="dxa"/>
          <w:shd w:val="clear" w:color="auto" w:fill="auto"/>
        </w:tcPr>
        <w:p w14:paraId="53030EE8" w14:textId="77777777" w:rsidR="00044354" w:rsidRPr="00B55488" w:rsidRDefault="00044354" w:rsidP="00044354">
          <w:pPr>
            <w:pStyle w:val="a3"/>
            <w:tabs>
              <w:tab w:val="clear" w:pos="4320"/>
            </w:tabs>
            <w:wordWrap w:val="0"/>
            <w:jc w:val="right"/>
            <w:rPr>
              <w:i/>
              <w:sz w:val="20"/>
              <w:lang w:val="en-US" w:eastAsia="zh-TW"/>
            </w:rPr>
          </w:pPr>
          <w:bookmarkStart w:id="80" w:name="OLE_LINK597"/>
          <w:r>
            <w:rPr>
              <w:i/>
              <w:sz w:val="20"/>
              <w:lang w:val="en-US" w:eastAsia="zh-TW"/>
            </w:rPr>
            <w:t xml:space="preserve">Tian </w:t>
          </w:r>
          <w:r w:rsidRPr="00B55488">
            <w:rPr>
              <w:i/>
              <w:sz w:val="20"/>
              <w:lang w:val="en-US" w:eastAsia="zh-TW"/>
            </w:rPr>
            <w:t>&amp;</w:t>
          </w:r>
          <w:r>
            <w:rPr>
              <w:i/>
              <w:sz w:val="20"/>
              <w:lang w:val="en-US" w:eastAsia="zh-TW"/>
            </w:rPr>
            <w:t xml:space="preserve"> Xu</w:t>
          </w:r>
          <w:bookmarkEnd w:id="80"/>
        </w:p>
      </w:tc>
    </w:tr>
    <w:bookmarkEnd w:id="79"/>
  </w:tbl>
  <w:p w14:paraId="3BCBBEB8" w14:textId="126071C9" w:rsidR="00525782" w:rsidRDefault="0052578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E0186"/>
    <w:multiLevelType w:val="multilevel"/>
    <w:tmpl w:val="562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335A6D"/>
    <w:multiLevelType w:val="hybridMultilevel"/>
    <w:tmpl w:val="B332FC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BB4014"/>
    <w:multiLevelType w:val="hybridMultilevel"/>
    <w:tmpl w:val="8A80E0FC"/>
    <w:lvl w:ilvl="0" w:tplc="AB98644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7EF34AA"/>
    <w:multiLevelType w:val="hybridMultilevel"/>
    <w:tmpl w:val="2B3E720C"/>
    <w:lvl w:ilvl="0" w:tplc="E1CE57C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9A2206"/>
    <w:multiLevelType w:val="hybridMultilevel"/>
    <w:tmpl w:val="EF2CF304"/>
    <w:lvl w:ilvl="0" w:tplc="7298984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F3160B"/>
    <w:multiLevelType w:val="hybridMultilevel"/>
    <w:tmpl w:val="1658747A"/>
    <w:lvl w:ilvl="0" w:tplc="7298984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C6573E"/>
    <w:multiLevelType w:val="hybridMultilevel"/>
    <w:tmpl w:val="F4143A4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FD530E"/>
    <w:multiLevelType w:val="hybridMultilevel"/>
    <w:tmpl w:val="A96E5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69700105">
    <w:abstractNumId w:val="6"/>
  </w:num>
  <w:num w:numId="2" w16cid:durableId="658509089">
    <w:abstractNumId w:val="3"/>
  </w:num>
  <w:num w:numId="3" w16cid:durableId="1331719815">
    <w:abstractNumId w:val="2"/>
  </w:num>
  <w:num w:numId="4" w16cid:durableId="311642382">
    <w:abstractNumId w:val="7"/>
  </w:num>
  <w:num w:numId="5" w16cid:durableId="1645544013">
    <w:abstractNumId w:val="0"/>
  </w:num>
  <w:num w:numId="6" w16cid:durableId="1962495248">
    <w:abstractNumId w:val="5"/>
  </w:num>
  <w:num w:numId="7" w16cid:durableId="444541025">
    <w:abstractNumId w:val="4"/>
  </w:num>
  <w:num w:numId="8" w16cid:durableId="1087000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gACEwszUxNLSwMjSyUdpeDU4uLM/DyQAkPLWgCa3CjILQAAAA=="/>
  </w:docVars>
  <w:rsids>
    <w:rsidRoot w:val="00F839AF"/>
    <w:rsid w:val="00001444"/>
    <w:rsid w:val="00001662"/>
    <w:rsid w:val="00002E30"/>
    <w:rsid w:val="000157AF"/>
    <w:rsid w:val="00025BE5"/>
    <w:rsid w:val="000267F0"/>
    <w:rsid w:val="000319E7"/>
    <w:rsid w:val="00031F9C"/>
    <w:rsid w:val="0003243E"/>
    <w:rsid w:val="00040122"/>
    <w:rsid w:val="00042FAD"/>
    <w:rsid w:val="00044354"/>
    <w:rsid w:val="00047A1C"/>
    <w:rsid w:val="00051469"/>
    <w:rsid w:val="00051FAF"/>
    <w:rsid w:val="00053A03"/>
    <w:rsid w:val="000565B9"/>
    <w:rsid w:val="00056ADE"/>
    <w:rsid w:val="00061C2E"/>
    <w:rsid w:val="00061CB7"/>
    <w:rsid w:val="00062929"/>
    <w:rsid w:val="00063F63"/>
    <w:rsid w:val="00073E0E"/>
    <w:rsid w:val="000743D0"/>
    <w:rsid w:val="00074B29"/>
    <w:rsid w:val="00074D70"/>
    <w:rsid w:val="00075890"/>
    <w:rsid w:val="00076F33"/>
    <w:rsid w:val="00081B77"/>
    <w:rsid w:val="00082D5C"/>
    <w:rsid w:val="00085FFC"/>
    <w:rsid w:val="00094A4C"/>
    <w:rsid w:val="000969F4"/>
    <w:rsid w:val="00096F80"/>
    <w:rsid w:val="000A2881"/>
    <w:rsid w:val="000A2ACA"/>
    <w:rsid w:val="000A3198"/>
    <w:rsid w:val="000A37C1"/>
    <w:rsid w:val="000A6710"/>
    <w:rsid w:val="000A6755"/>
    <w:rsid w:val="000A67B6"/>
    <w:rsid w:val="000B08DE"/>
    <w:rsid w:val="000B175E"/>
    <w:rsid w:val="000B718B"/>
    <w:rsid w:val="000C1773"/>
    <w:rsid w:val="000C30FD"/>
    <w:rsid w:val="000C56E2"/>
    <w:rsid w:val="000C7407"/>
    <w:rsid w:val="000D2E0F"/>
    <w:rsid w:val="000D3481"/>
    <w:rsid w:val="000E14FC"/>
    <w:rsid w:val="000F569B"/>
    <w:rsid w:val="000F7B81"/>
    <w:rsid w:val="000F7EA3"/>
    <w:rsid w:val="00103531"/>
    <w:rsid w:val="00105663"/>
    <w:rsid w:val="00110E3F"/>
    <w:rsid w:val="001165D0"/>
    <w:rsid w:val="001203B5"/>
    <w:rsid w:val="001213D5"/>
    <w:rsid w:val="001218B4"/>
    <w:rsid w:val="00123772"/>
    <w:rsid w:val="001249C8"/>
    <w:rsid w:val="00124E9C"/>
    <w:rsid w:val="001273A3"/>
    <w:rsid w:val="001356F7"/>
    <w:rsid w:val="00135E9A"/>
    <w:rsid w:val="00135F94"/>
    <w:rsid w:val="00136394"/>
    <w:rsid w:val="00143662"/>
    <w:rsid w:val="00144DE1"/>
    <w:rsid w:val="00145406"/>
    <w:rsid w:val="001458A0"/>
    <w:rsid w:val="00146473"/>
    <w:rsid w:val="00156C37"/>
    <w:rsid w:val="0016612D"/>
    <w:rsid w:val="00170C78"/>
    <w:rsid w:val="00173433"/>
    <w:rsid w:val="00173D58"/>
    <w:rsid w:val="0017504E"/>
    <w:rsid w:val="00175F4C"/>
    <w:rsid w:val="001879E8"/>
    <w:rsid w:val="001917FD"/>
    <w:rsid w:val="00191D2A"/>
    <w:rsid w:val="00195437"/>
    <w:rsid w:val="001A29C8"/>
    <w:rsid w:val="001A2DCF"/>
    <w:rsid w:val="001A6C7C"/>
    <w:rsid w:val="001B098B"/>
    <w:rsid w:val="001B3432"/>
    <w:rsid w:val="001B448D"/>
    <w:rsid w:val="001C15C1"/>
    <w:rsid w:val="001C2455"/>
    <w:rsid w:val="001C4FDF"/>
    <w:rsid w:val="001C500E"/>
    <w:rsid w:val="001C50A3"/>
    <w:rsid w:val="001C6331"/>
    <w:rsid w:val="001C7EFB"/>
    <w:rsid w:val="001D0444"/>
    <w:rsid w:val="001D2445"/>
    <w:rsid w:val="001D29D1"/>
    <w:rsid w:val="001D325B"/>
    <w:rsid w:val="001D6223"/>
    <w:rsid w:val="001E45A5"/>
    <w:rsid w:val="001E47A1"/>
    <w:rsid w:val="001E5B41"/>
    <w:rsid w:val="001E772D"/>
    <w:rsid w:val="001F588A"/>
    <w:rsid w:val="002039C2"/>
    <w:rsid w:val="00211269"/>
    <w:rsid w:val="002117EB"/>
    <w:rsid w:val="00211940"/>
    <w:rsid w:val="00212D1B"/>
    <w:rsid w:val="00216A5C"/>
    <w:rsid w:val="0022015D"/>
    <w:rsid w:val="002231F6"/>
    <w:rsid w:val="00223CDD"/>
    <w:rsid w:val="002242BE"/>
    <w:rsid w:val="0022500E"/>
    <w:rsid w:val="002305B8"/>
    <w:rsid w:val="002318C7"/>
    <w:rsid w:val="002346F0"/>
    <w:rsid w:val="00241108"/>
    <w:rsid w:val="00245896"/>
    <w:rsid w:val="00245B80"/>
    <w:rsid w:val="00246A7D"/>
    <w:rsid w:val="00250BE1"/>
    <w:rsid w:val="0025331F"/>
    <w:rsid w:val="00253776"/>
    <w:rsid w:val="00254172"/>
    <w:rsid w:val="00254A27"/>
    <w:rsid w:val="00254C01"/>
    <w:rsid w:val="00261615"/>
    <w:rsid w:val="00261E3D"/>
    <w:rsid w:val="0026486F"/>
    <w:rsid w:val="00273853"/>
    <w:rsid w:val="00274F17"/>
    <w:rsid w:val="00280159"/>
    <w:rsid w:val="002812CD"/>
    <w:rsid w:val="00282E91"/>
    <w:rsid w:val="00282F26"/>
    <w:rsid w:val="0028486C"/>
    <w:rsid w:val="0028526D"/>
    <w:rsid w:val="00290082"/>
    <w:rsid w:val="002938D1"/>
    <w:rsid w:val="0029696D"/>
    <w:rsid w:val="002A130C"/>
    <w:rsid w:val="002A2770"/>
    <w:rsid w:val="002A6F12"/>
    <w:rsid w:val="002C1843"/>
    <w:rsid w:val="002C28F5"/>
    <w:rsid w:val="002C3F3D"/>
    <w:rsid w:val="002D2442"/>
    <w:rsid w:val="002D7065"/>
    <w:rsid w:val="002E3620"/>
    <w:rsid w:val="002E72E4"/>
    <w:rsid w:val="002F2223"/>
    <w:rsid w:val="00305069"/>
    <w:rsid w:val="003058F3"/>
    <w:rsid w:val="00305D1E"/>
    <w:rsid w:val="00307391"/>
    <w:rsid w:val="00311EA3"/>
    <w:rsid w:val="00312A5F"/>
    <w:rsid w:val="00313990"/>
    <w:rsid w:val="003207CE"/>
    <w:rsid w:val="00321249"/>
    <w:rsid w:val="0032180F"/>
    <w:rsid w:val="00324377"/>
    <w:rsid w:val="00325934"/>
    <w:rsid w:val="003268A9"/>
    <w:rsid w:val="00327308"/>
    <w:rsid w:val="00332B29"/>
    <w:rsid w:val="003337B1"/>
    <w:rsid w:val="003365CD"/>
    <w:rsid w:val="00340E82"/>
    <w:rsid w:val="00352E65"/>
    <w:rsid w:val="00353674"/>
    <w:rsid w:val="003540CD"/>
    <w:rsid w:val="00355FC2"/>
    <w:rsid w:val="00356F31"/>
    <w:rsid w:val="003610B8"/>
    <w:rsid w:val="00362CC5"/>
    <w:rsid w:val="00370100"/>
    <w:rsid w:val="00373F82"/>
    <w:rsid w:val="00374361"/>
    <w:rsid w:val="003743FE"/>
    <w:rsid w:val="0038375F"/>
    <w:rsid w:val="00395E48"/>
    <w:rsid w:val="00397A8C"/>
    <w:rsid w:val="003A4864"/>
    <w:rsid w:val="003A6FA6"/>
    <w:rsid w:val="003C1AE5"/>
    <w:rsid w:val="003C2657"/>
    <w:rsid w:val="003C77F3"/>
    <w:rsid w:val="003D3C24"/>
    <w:rsid w:val="003E2700"/>
    <w:rsid w:val="003E28AC"/>
    <w:rsid w:val="003E3EF5"/>
    <w:rsid w:val="003E4ECB"/>
    <w:rsid w:val="003E544A"/>
    <w:rsid w:val="003E6B46"/>
    <w:rsid w:val="003F195C"/>
    <w:rsid w:val="003F24EA"/>
    <w:rsid w:val="003F6826"/>
    <w:rsid w:val="003F698A"/>
    <w:rsid w:val="00401221"/>
    <w:rsid w:val="00402CEB"/>
    <w:rsid w:val="00404665"/>
    <w:rsid w:val="00407A22"/>
    <w:rsid w:val="00410BBA"/>
    <w:rsid w:val="0041322C"/>
    <w:rsid w:val="004174FD"/>
    <w:rsid w:val="00417FF2"/>
    <w:rsid w:val="0042036A"/>
    <w:rsid w:val="00420F6B"/>
    <w:rsid w:val="00422D8A"/>
    <w:rsid w:val="00422DC9"/>
    <w:rsid w:val="00430B97"/>
    <w:rsid w:val="00430CF9"/>
    <w:rsid w:val="00433B4A"/>
    <w:rsid w:val="00433CED"/>
    <w:rsid w:val="00434032"/>
    <w:rsid w:val="004340C6"/>
    <w:rsid w:val="0043713C"/>
    <w:rsid w:val="0044317C"/>
    <w:rsid w:val="0044423C"/>
    <w:rsid w:val="004452A0"/>
    <w:rsid w:val="0044705C"/>
    <w:rsid w:val="00450448"/>
    <w:rsid w:val="00467C5A"/>
    <w:rsid w:val="0047051C"/>
    <w:rsid w:val="0047527E"/>
    <w:rsid w:val="00476031"/>
    <w:rsid w:val="00477857"/>
    <w:rsid w:val="00480F23"/>
    <w:rsid w:val="004811DE"/>
    <w:rsid w:val="004848BD"/>
    <w:rsid w:val="00485655"/>
    <w:rsid w:val="00485B11"/>
    <w:rsid w:val="0048625A"/>
    <w:rsid w:val="00490A31"/>
    <w:rsid w:val="00491763"/>
    <w:rsid w:val="0049280A"/>
    <w:rsid w:val="004A5E90"/>
    <w:rsid w:val="004A7EF0"/>
    <w:rsid w:val="004B1B20"/>
    <w:rsid w:val="004B28AF"/>
    <w:rsid w:val="004B2943"/>
    <w:rsid w:val="004B2A7A"/>
    <w:rsid w:val="004B3B60"/>
    <w:rsid w:val="004C6CB5"/>
    <w:rsid w:val="004C7723"/>
    <w:rsid w:val="004D055E"/>
    <w:rsid w:val="004D32B3"/>
    <w:rsid w:val="004D3F2D"/>
    <w:rsid w:val="004D6EB5"/>
    <w:rsid w:val="004E3300"/>
    <w:rsid w:val="004E4DF6"/>
    <w:rsid w:val="004F0A4A"/>
    <w:rsid w:val="004F5666"/>
    <w:rsid w:val="004F58B7"/>
    <w:rsid w:val="004F5DD7"/>
    <w:rsid w:val="0050050E"/>
    <w:rsid w:val="00505CD6"/>
    <w:rsid w:val="00506209"/>
    <w:rsid w:val="00510A20"/>
    <w:rsid w:val="00510B3C"/>
    <w:rsid w:val="00513B01"/>
    <w:rsid w:val="00513B4F"/>
    <w:rsid w:val="00514CA4"/>
    <w:rsid w:val="00516CE8"/>
    <w:rsid w:val="00520225"/>
    <w:rsid w:val="005218A7"/>
    <w:rsid w:val="00522162"/>
    <w:rsid w:val="00522CBE"/>
    <w:rsid w:val="0052330C"/>
    <w:rsid w:val="00525782"/>
    <w:rsid w:val="00534CF7"/>
    <w:rsid w:val="00537432"/>
    <w:rsid w:val="00541A8C"/>
    <w:rsid w:val="00545450"/>
    <w:rsid w:val="005532BF"/>
    <w:rsid w:val="00556F29"/>
    <w:rsid w:val="00557315"/>
    <w:rsid w:val="00561797"/>
    <w:rsid w:val="005629CF"/>
    <w:rsid w:val="00563DFB"/>
    <w:rsid w:val="00567DC5"/>
    <w:rsid w:val="00574D43"/>
    <w:rsid w:val="00576AE1"/>
    <w:rsid w:val="00580CA7"/>
    <w:rsid w:val="00580D4F"/>
    <w:rsid w:val="00580D52"/>
    <w:rsid w:val="0058629C"/>
    <w:rsid w:val="00591AD1"/>
    <w:rsid w:val="00593724"/>
    <w:rsid w:val="00595F61"/>
    <w:rsid w:val="0059636D"/>
    <w:rsid w:val="005A1F41"/>
    <w:rsid w:val="005A3224"/>
    <w:rsid w:val="005A4A2C"/>
    <w:rsid w:val="005A5075"/>
    <w:rsid w:val="005B0AEE"/>
    <w:rsid w:val="005B22CB"/>
    <w:rsid w:val="005C18CC"/>
    <w:rsid w:val="005C1D13"/>
    <w:rsid w:val="005C2C9E"/>
    <w:rsid w:val="005C598D"/>
    <w:rsid w:val="005D0D5F"/>
    <w:rsid w:val="005D626C"/>
    <w:rsid w:val="005D693C"/>
    <w:rsid w:val="005E2470"/>
    <w:rsid w:val="005E4EB1"/>
    <w:rsid w:val="005E6019"/>
    <w:rsid w:val="005F574C"/>
    <w:rsid w:val="006051BF"/>
    <w:rsid w:val="00607160"/>
    <w:rsid w:val="006155DF"/>
    <w:rsid w:val="0061630E"/>
    <w:rsid w:val="00620082"/>
    <w:rsid w:val="00621163"/>
    <w:rsid w:val="006258DB"/>
    <w:rsid w:val="006306CB"/>
    <w:rsid w:val="00630AFB"/>
    <w:rsid w:val="00635F75"/>
    <w:rsid w:val="00641825"/>
    <w:rsid w:val="00642526"/>
    <w:rsid w:val="00642A99"/>
    <w:rsid w:val="00643AB4"/>
    <w:rsid w:val="0064708B"/>
    <w:rsid w:val="0064723D"/>
    <w:rsid w:val="00647410"/>
    <w:rsid w:val="006501EE"/>
    <w:rsid w:val="006510B2"/>
    <w:rsid w:val="00651C1A"/>
    <w:rsid w:val="006539A3"/>
    <w:rsid w:val="00654F2E"/>
    <w:rsid w:val="00656E24"/>
    <w:rsid w:val="0066001E"/>
    <w:rsid w:val="00662119"/>
    <w:rsid w:val="00665822"/>
    <w:rsid w:val="00666CF3"/>
    <w:rsid w:val="006709C1"/>
    <w:rsid w:val="0067251B"/>
    <w:rsid w:val="006845B0"/>
    <w:rsid w:val="0069031C"/>
    <w:rsid w:val="006903D6"/>
    <w:rsid w:val="00691A2E"/>
    <w:rsid w:val="00691E0E"/>
    <w:rsid w:val="00692EC9"/>
    <w:rsid w:val="006A14D8"/>
    <w:rsid w:val="006A5135"/>
    <w:rsid w:val="006A764B"/>
    <w:rsid w:val="006B1485"/>
    <w:rsid w:val="006B2EF8"/>
    <w:rsid w:val="006C54EE"/>
    <w:rsid w:val="006C6ACB"/>
    <w:rsid w:val="006C7007"/>
    <w:rsid w:val="006C71AE"/>
    <w:rsid w:val="006D03F4"/>
    <w:rsid w:val="006D049F"/>
    <w:rsid w:val="006D0B1A"/>
    <w:rsid w:val="006D4D1A"/>
    <w:rsid w:val="006D4FEA"/>
    <w:rsid w:val="006D68CD"/>
    <w:rsid w:val="006E0756"/>
    <w:rsid w:val="006E1269"/>
    <w:rsid w:val="006E2044"/>
    <w:rsid w:val="006E7B91"/>
    <w:rsid w:val="006F27A4"/>
    <w:rsid w:val="006F5BB6"/>
    <w:rsid w:val="00700155"/>
    <w:rsid w:val="007057B4"/>
    <w:rsid w:val="00705A6B"/>
    <w:rsid w:val="007107F4"/>
    <w:rsid w:val="007138A1"/>
    <w:rsid w:val="00721930"/>
    <w:rsid w:val="00725357"/>
    <w:rsid w:val="00725C38"/>
    <w:rsid w:val="00727A7E"/>
    <w:rsid w:val="0073459F"/>
    <w:rsid w:val="00751BCE"/>
    <w:rsid w:val="00756F6A"/>
    <w:rsid w:val="00760CC7"/>
    <w:rsid w:val="007617EC"/>
    <w:rsid w:val="00764078"/>
    <w:rsid w:val="00764871"/>
    <w:rsid w:val="00764929"/>
    <w:rsid w:val="00764F76"/>
    <w:rsid w:val="00765655"/>
    <w:rsid w:val="0077190A"/>
    <w:rsid w:val="00774FE0"/>
    <w:rsid w:val="00776FBD"/>
    <w:rsid w:val="00777A12"/>
    <w:rsid w:val="007825CF"/>
    <w:rsid w:val="00785323"/>
    <w:rsid w:val="00791626"/>
    <w:rsid w:val="00791BDC"/>
    <w:rsid w:val="007944EE"/>
    <w:rsid w:val="007A2C32"/>
    <w:rsid w:val="007A3B39"/>
    <w:rsid w:val="007A464B"/>
    <w:rsid w:val="007A4FCB"/>
    <w:rsid w:val="007A50C0"/>
    <w:rsid w:val="007A5E30"/>
    <w:rsid w:val="007A73A2"/>
    <w:rsid w:val="007B28EF"/>
    <w:rsid w:val="007C1FD0"/>
    <w:rsid w:val="007C6654"/>
    <w:rsid w:val="007C7D57"/>
    <w:rsid w:val="007D0305"/>
    <w:rsid w:val="007D6CF2"/>
    <w:rsid w:val="007E0BC2"/>
    <w:rsid w:val="007E2723"/>
    <w:rsid w:val="007E6A24"/>
    <w:rsid w:val="007E6E31"/>
    <w:rsid w:val="007E7182"/>
    <w:rsid w:val="007F2D40"/>
    <w:rsid w:val="007F37D4"/>
    <w:rsid w:val="007F6597"/>
    <w:rsid w:val="00801137"/>
    <w:rsid w:val="00802544"/>
    <w:rsid w:val="0080600A"/>
    <w:rsid w:val="0081291A"/>
    <w:rsid w:val="00816D80"/>
    <w:rsid w:val="008178D9"/>
    <w:rsid w:val="00822B8B"/>
    <w:rsid w:val="00822C25"/>
    <w:rsid w:val="008250E8"/>
    <w:rsid w:val="00826437"/>
    <w:rsid w:val="0082665A"/>
    <w:rsid w:val="00827571"/>
    <w:rsid w:val="00833620"/>
    <w:rsid w:val="00833834"/>
    <w:rsid w:val="008345F8"/>
    <w:rsid w:val="008358B4"/>
    <w:rsid w:val="00836088"/>
    <w:rsid w:val="00840957"/>
    <w:rsid w:val="0084365C"/>
    <w:rsid w:val="00853FE5"/>
    <w:rsid w:val="008550C9"/>
    <w:rsid w:val="00855293"/>
    <w:rsid w:val="008644F3"/>
    <w:rsid w:val="00872AAF"/>
    <w:rsid w:val="00873905"/>
    <w:rsid w:val="0087579C"/>
    <w:rsid w:val="0087610C"/>
    <w:rsid w:val="00880E16"/>
    <w:rsid w:val="0088161E"/>
    <w:rsid w:val="008838A4"/>
    <w:rsid w:val="00884C0B"/>
    <w:rsid w:val="00884E4A"/>
    <w:rsid w:val="00885C80"/>
    <w:rsid w:val="008867E8"/>
    <w:rsid w:val="008873A4"/>
    <w:rsid w:val="0089235F"/>
    <w:rsid w:val="00892741"/>
    <w:rsid w:val="008932E3"/>
    <w:rsid w:val="00894FA2"/>
    <w:rsid w:val="00896244"/>
    <w:rsid w:val="008A1486"/>
    <w:rsid w:val="008A4E35"/>
    <w:rsid w:val="008A5AB2"/>
    <w:rsid w:val="008A5DCD"/>
    <w:rsid w:val="008A75EA"/>
    <w:rsid w:val="008A78BD"/>
    <w:rsid w:val="008B29FE"/>
    <w:rsid w:val="008B4693"/>
    <w:rsid w:val="008B5490"/>
    <w:rsid w:val="008C1DB6"/>
    <w:rsid w:val="008C226E"/>
    <w:rsid w:val="008C4A21"/>
    <w:rsid w:val="008C61AD"/>
    <w:rsid w:val="008D0E4E"/>
    <w:rsid w:val="008D1670"/>
    <w:rsid w:val="008D2743"/>
    <w:rsid w:val="008D470E"/>
    <w:rsid w:val="008D51CF"/>
    <w:rsid w:val="008D7EB5"/>
    <w:rsid w:val="008E1072"/>
    <w:rsid w:val="008E1E64"/>
    <w:rsid w:val="008F5048"/>
    <w:rsid w:val="008F5E41"/>
    <w:rsid w:val="008F60AB"/>
    <w:rsid w:val="008F7D43"/>
    <w:rsid w:val="009040F0"/>
    <w:rsid w:val="00912657"/>
    <w:rsid w:val="00915D0C"/>
    <w:rsid w:val="009161AF"/>
    <w:rsid w:val="009167C3"/>
    <w:rsid w:val="0092492E"/>
    <w:rsid w:val="00925157"/>
    <w:rsid w:val="00927461"/>
    <w:rsid w:val="00932472"/>
    <w:rsid w:val="00934712"/>
    <w:rsid w:val="009363C0"/>
    <w:rsid w:val="00940225"/>
    <w:rsid w:val="00940A00"/>
    <w:rsid w:val="00943179"/>
    <w:rsid w:val="00945D05"/>
    <w:rsid w:val="0094716D"/>
    <w:rsid w:val="009504D1"/>
    <w:rsid w:val="00952AD2"/>
    <w:rsid w:val="00954011"/>
    <w:rsid w:val="009556C8"/>
    <w:rsid w:val="009754EA"/>
    <w:rsid w:val="0097570E"/>
    <w:rsid w:val="00976C0C"/>
    <w:rsid w:val="0098125D"/>
    <w:rsid w:val="00982490"/>
    <w:rsid w:val="00990BF1"/>
    <w:rsid w:val="00990FF6"/>
    <w:rsid w:val="00991F9B"/>
    <w:rsid w:val="009A0097"/>
    <w:rsid w:val="009A2516"/>
    <w:rsid w:val="009A409F"/>
    <w:rsid w:val="009A51EB"/>
    <w:rsid w:val="009B0C7D"/>
    <w:rsid w:val="009B0C85"/>
    <w:rsid w:val="009B13BB"/>
    <w:rsid w:val="009B70C7"/>
    <w:rsid w:val="009C1184"/>
    <w:rsid w:val="009C13F5"/>
    <w:rsid w:val="009C3C16"/>
    <w:rsid w:val="009C3CCD"/>
    <w:rsid w:val="009C462F"/>
    <w:rsid w:val="009C4765"/>
    <w:rsid w:val="009C65DC"/>
    <w:rsid w:val="009C72DC"/>
    <w:rsid w:val="009D4CB5"/>
    <w:rsid w:val="009D57AF"/>
    <w:rsid w:val="009E0C29"/>
    <w:rsid w:val="009F3D9F"/>
    <w:rsid w:val="009F43F5"/>
    <w:rsid w:val="009F6EDF"/>
    <w:rsid w:val="00A02099"/>
    <w:rsid w:val="00A05FE3"/>
    <w:rsid w:val="00A14911"/>
    <w:rsid w:val="00A16249"/>
    <w:rsid w:val="00A20A44"/>
    <w:rsid w:val="00A2134D"/>
    <w:rsid w:val="00A32CD5"/>
    <w:rsid w:val="00A34090"/>
    <w:rsid w:val="00A34946"/>
    <w:rsid w:val="00A36AAD"/>
    <w:rsid w:val="00A37152"/>
    <w:rsid w:val="00A41F63"/>
    <w:rsid w:val="00A42EA4"/>
    <w:rsid w:val="00A44968"/>
    <w:rsid w:val="00A44C50"/>
    <w:rsid w:val="00A45A0B"/>
    <w:rsid w:val="00A46C31"/>
    <w:rsid w:val="00A548E9"/>
    <w:rsid w:val="00A6381D"/>
    <w:rsid w:val="00A66D29"/>
    <w:rsid w:val="00A67598"/>
    <w:rsid w:val="00A73702"/>
    <w:rsid w:val="00A74F03"/>
    <w:rsid w:val="00A82AAA"/>
    <w:rsid w:val="00A902B9"/>
    <w:rsid w:val="00A914FB"/>
    <w:rsid w:val="00A94022"/>
    <w:rsid w:val="00AA1C53"/>
    <w:rsid w:val="00AA3A6E"/>
    <w:rsid w:val="00AA61F7"/>
    <w:rsid w:val="00AB0125"/>
    <w:rsid w:val="00AB05C0"/>
    <w:rsid w:val="00AB18B6"/>
    <w:rsid w:val="00AB45F3"/>
    <w:rsid w:val="00AB5FB3"/>
    <w:rsid w:val="00AB66F9"/>
    <w:rsid w:val="00AC2197"/>
    <w:rsid w:val="00AC7EAA"/>
    <w:rsid w:val="00AD1EB7"/>
    <w:rsid w:val="00AE041E"/>
    <w:rsid w:val="00AE0BD3"/>
    <w:rsid w:val="00AE10B1"/>
    <w:rsid w:val="00AE1FE3"/>
    <w:rsid w:val="00AE27D1"/>
    <w:rsid w:val="00AE40A8"/>
    <w:rsid w:val="00AF1516"/>
    <w:rsid w:val="00AF2479"/>
    <w:rsid w:val="00AF2D4A"/>
    <w:rsid w:val="00B006D6"/>
    <w:rsid w:val="00B026A9"/>
    <w:rsid w:val="00B03EFE"/>
    <w:rsid w:val="00B04A02"/>
    <w:rsid w:val="00B10B50"/>
    <w:rsid w:val="00B135F1"/>
    <w:rsid w:val="00B32082"/>
    <w:rsid w:val="00B33F8F"/>
    <w:rsid w:val="00B359F6"/>
    <w:rsid w:val="00B36B6C"/>
    <w:rsid w:val="00B37D89"/>
    <w:rsid w:val="00B4052E"/>
    <w:rsid w:val="00B4240A"/>
    <w:rsid w:val="00B51988"/>
    <w:rsid w:val="00B55488"/>
    <w:rsid w:val="00B55CC8"/>
    <w:rsid w:val="00B61C86"/>
    <w:rsid w:val="00B626EE"/>
    <w:rsid w:val="00B67BD8"/>
    <w:rsid w:val="00B71636"/>
    <w:rsid w:val="00B80263"/>
    <w:rsid w:val="00B80671"/>
    <w:rsid w:val="00B8296F"/>
    <w:rsid w:val="00B869ED"/>
    <w:rsid w:val="00B86BDC"/>
    <w:rsid w:val="00B903D9"/>
    <w:rsid w:val="00B917A3"/>
    <w:rsid w:val="00B946D7"/>
    <w:rsid w:val="00B9550D"/>
    <w:rsid w:val="00B96E4B"/>
    <w:rsid w:val="00B97CCD"/>
    <w:rsid w:val="00BA2723"/>
    <w:rsid w:val="00BA3971"/>
    <w:rsid w:val="00BA4252"/>
    <w:rsid w:val="00BA536A"/>
    <w:rsid w:val="00BA6723"/>
    <w:rsid w:val="00BA7F95"/>
    <w:rsid w:val="00BB2F33"/>
    <w:rsid w:val="00BB418F"/>
    <w:rsid w:val="00BB702C"/>
    <w:rsid w:val="00BB7509"/>
    <w:rsid w:val="00BC7B2C"/>
    <w:rsid w:val="00BE28E3"/>
    <w:rsid w:val="00BE3BE7"/>
    <w:rsid w:val="00BE3FA4"/>
    <w:rsid w:val="00BE6087"/>
    <w:rsid w:val="00BF14E5"/>
    <w:rsid w:val="00BF36C7"/>
    <w:rsid w:val="00BF4DB1"/>
    <w:rsid w:val="00BF4FFD"/>
    <w:rsid w:val="00BF510A"/>
    <w:rsid w:val="00BF6AC1"/>
    <w:rsid w:val="00BF7DBF"/>
    <w:rsid w:val="00C13FF1"/>
    <w:rsid w:val="00C24176"/>
    <w:rsid w:val="00C264B4"/>
    <w:rsid w:val="00C26853"/>
    <w:rsid w:val="00C27395"/>
    <w:rsid w:val="00C31117"/>
    <w:rsid w:val="00C31C7A"/>
    <w:rsid w:val="00C4035A"/>
    <w:rsid w:val="00C40645"/>
    <w:rsid w:val="00C40709"/>
    <w:rsid w:val="00C40813"/>
    <w:rsid w:val="00C44A2E"/>
    <w:rsid w:val="00C46DC7"/>
    <w:rsid w:val="00C53F76"/>
    <w:rsid w:val="00C56485"/>
    <w:rsid w:val="00C621F5"/>
    <w:rsid w:val="00C63F5C"/>
    <w:rsid w:val="00C64534"/>
    <w:rsid w:val="00C6662E"/>
    <w:rsid w:val="00C66745"/>
    <w:rsid w:val="00C67279"/>
    <w:rsid w:val="00C70430"/>
    <w:rsid w:val="00C7052B"/>
    <w:rsid w:val="00C74782"/>
    <w:rsid w:val="00C8119B"/>
    <w:rsid w:val="00C82904"/>
    <w:rsid w:val="00C84666"/>
    <w:rsid w:val="00C86FCF"/>
    <w:rsid w:val="00C91D76"/>
    <w:rsid w:val="00C92093"/>
    <w:rsid w:val="00C92102"/>
    <w:rsid w:val="00C967C6"/>
    <w:rsid w:val="00C9726D"/>
    <w:rsid w:val="00C97AFF"/>
    <w:rsid w:val="00CA18BB"/>
    <w:rsid w:val="00CA23E7"/>
    <w:rsid w:val="00CA4945"/>
    <w:rsid w:val="00CB1453"/>
    <w:rsid w:val="00CB183D"/>
    <w:rsid w:val="00CB44CA"/>
    <w:rsid w:val="00CB68F5"/>
    <w:rsid w:val="00CB72F1"/>
    <w:rsid w:val="00CC2FC1"/>
    <w:rsid w:val="00CC52EE"/>
    <w:rsid w:val="00CC6F47"/>
    <w:rsid w:val="00CC78E6"/>
    <w:rsid w:val="00CD01F1"/>
    <w:rsid w:val="00CD279A"/>
    <w:rsid w:val="00CD7FA3"/>
    <w:rsid w:val="00CE50EE"/>
    <w:rsid w:val="00CF2EEA"/>
    <w:rsid w:val="00CF5AB8"/>
    <w:rsid w:val="00CF5EC2"/>
    <w:rsid w:val="00CF721C"/>
    <w:rsid w:val="00CF7E52"/>
    <w:rsid w:val="00D009E8"/>
    <w:rsid w:val="00D02A2B"/>
    <w:rsid w:val="00D04112"/>
    <w:rsid w:val="00D04CB8"/>
    <w:rsid w:val="00D07ADF"/>
    <w:rsid w:val="00D170BF"/>
    <w:rsid w:val="00D20A5E"/>
    <w:rsid w:val="00D23530"/>
    <w:rsid w:val="00D23D55"/>
    <w:rsid w:val="00D24168"/>
    <w:rsid w:val="00D245C8"/>
    <w:rsid w:val="00D31E35"/>
    <w:rsid w:val="00D32913"/>
    <w:rsid w:val="00D35DB5"/>
    <w:rsid w:val="00D37DDB"/>
    <w:rsid w:val="00D4393E"/>
    <w:rsid w:val="00D45A52"/>
    <w:rsid w:val="00D46293"/>
    <w:rsid w:val="00D46D44"/>
    <w:rsid w:val="00D53E71"/>
    <w:rsid w:val="00D60E31"/>
    <w:rsid w:val="00D7165F"/>
    <w:rsid w:val="00D75CB5"/>
    <w:rsid w:val="00D76228"/>
    <w:rsid w:val="00D7649A"/>
    <w:rsid w:val="00D76FC9"/>
    <w:rsid w:val="00D80EC2"/>
    <w:rsid w:val="00D83B86"/>
    <w:rsid w:val="00D840A5"/>
    <w:rsid w:val="00D8654E"/>
    <w:rsid w:val="00D94D23"/>
    <w:rsid w:val="00DA6899"/>
    <w:rsid w:val="00DB3ACB"/>
    <w:rsid w:val="00DB64DA"/>
    <w:rsid w:val="00DC0A21"/>
    <w:rsid w:val="00DC72D7"/>
    <w:rsid w:val="00DE5752"/>
    <w:rsid w:val="00DE7159"/>
    <w:rsid w:val="00DE7639"/>
    <w:rsid w:val="00DF48CB"/>
    <w:rsid w:val="00DF7BCE"/>
    <w:rsid w:val="00E0266A"/>
    <w:rsid w:val="00E04BFB"/>
    <w:rsid w:val="00E04F6F"/>
    <w:rsid w:val="00E112C1"/>
    <w:rsid w:val="00E145DC"/>
    <w:rsid w:val="00E22D13"/>
    <w:rsid w:val="00E27199"/>
    <w:rsid w:val="00E32305"/>
    <w:rsid w:val="00E4083B"/>
    <w:rsid w:val="00E4366A"/>
    <w:rsid w:val="00E475BD"/>
    <w:rsid w:val="00E54486"/>
    <w:rsid w:val="00E54CA0"/>
    <w:rsid w:val="00E63AA5"/>
    <w:rsid w:val="00E741A8"/>
    <w:rsid w:val="00E757D2"/>
    <w:rsid w:val="00E8029A"/>
    <w:rsid w:val="00E82F35"/>
    <w:rsid w:val="00E9238A"/>
    <w:rsid w:val="00EA3AAB"/>
    <w:rsid w:val="00EA4E89"/>
    <w:rsid w:val="00EA511E"/>
    <w:rsid w:val="00EA63D1"/>
    <w:rsid w:val="00EA7AA1"/>
    <w:rsid w:val="00EB0298"/>
    <w:rsid w:val="00EB0367"/>
    <w:rsid w:val="00EB0515"/>
    <w:rsid w:val="00EB2593"/>
    <w:rsid w:val="00EB72BE"/>
    <w:rsid w:val="00EC1B8E"/>
    <w:rsid w:val="00EC6008"/>
    <w:rsid w:val="00EC672E"/>
    <w:rsid w:val="00ED0219"/>
    <w:rsid w:val="00EE019B"/>
    <w:rsid w:val="00EE0DFB"/>
    <w:rsid w:val="00EE1AF4"/>
    <w:rsid w:val="00EE3356"/>
    <w:rsid w:val="00EE5B1F"/>
    <w:rsid w:val="00EE7C2D"/>
    <w:rsid w:val="00EF31C9"/>
    <w:rsid w:val="00EF6340"/>
    <w:rsid w:val="00F009DE"/>
    <w:rsid w:val="00F0551C"/>
    <w:rsid w:val="00F05DEF"/>
    <w:rsid w:val="00F13AD3"/>
    <w:rsid w:val="00F16FE1"/>
    <w:rsid w:val="00F304AA"/>
    <w:rsid w:val="00F30E91"/>
    <w:rsid w:val="00F4716A"/>
    <w:rsid w:val="00F52504"/>
    <w:rsid w:val="00F530E7"/>
    <w:rsid w:val="00F544C8"/>
    <w:rsid w:val="00F55886"/>
    <w:rsid w:val="00F601A5"/>
    <w:rsid w:val="00F6603E"/>
    <w:rsid w:val="00F669F4"/>
    <w:rsid w:val="00F70FC1"/>
    <w:rsid w:val="00F71987"/>
    <w:rsid w:val="00F839AF"/>
    <w:rsid w:val="00F87BC2"/>
    <w:rsid w:val="00F92F38"/>
    <w:rsid w:val="00F93937"/>
    <w:rsid w:val="00F94965"/>
    <w:rsid w:val="00F97C78"/>
    <w:rsid w:val="00F97DF6"/>
    <w:rsid w:val="00FA1E67"/>
    <w:rsid w:val="00FA2E64"/>
    <w:rsid w:val="00FB03B8"/>
    <w:rsid w:val="00FB749C"/>
    <w:rsid w:val="00FD1C31"/>
    <w:rsid w:val="00FD5DFC"/>
    <w:rsid w:val="00FE0428"/>
    <w:rsid w:val="00FE28BF"/>
    <w:rsid w:val="00FE3C6C"/>
    <w:rsid w:val="00FE7380"/>
    <w:rsid w:val="00FF1131"/>
    <w:rsid w:val="00FF290F"/>
    <w:rsid w:val="00FF6D3C"/>
    <w:rsid w:val="00FF7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483F7"/>
  <w15:chartTrackingRefBased/>
  <w15:docId w15:val="{A05DAC0A-13A2-844A-ABB8-E885B38A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7D4"/>
    <w:pPr>
      <w:spacing w:after="160" w:line="259" w:lineRule="auto"/>
    </w:pPr>
    <w:rPr>
      <w:rFonts w:ascii="Times New Roman" w:hAnsi="Times New Roman"/>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9AF"/>
    <w:pPr>
      <w:tabs>
        <w:tab w:val="center" w:pos="4320"/>
        <w:tab w:val="right" w:pos="8640"/>
      </w:tabs>
      <w:spacing w:after="0" w:line="240" w:lineRule="auto"/>
    </w:pPr>
    <w:rPr>
      <w:szCs w:val="20"/>
      <w:lang w:val="x-none" w:eastAsia="x-none"/>
    </w:rPr>
  </w:style>
  <w:style w:type="character" w:customStyle="1" w:styleId="a4">
    <w:name w:val="页眉 字符"/>
    <w:link w:val="a3"/>
    <w:uiPriority w:val="99"/>
    <w:rsid w:val="00F839AF"/>
    <w:rPr>
      <w:rFonts w:ascii="Times New Roman" w:hAnsi="Times New Roman"/>
      <w:sz w:val="24"/>
    </w:rPr>
  </w:style>
  <w:style w:type="paragraph" w:styleId="a5">
    <w:name w:val="footer"/>
    <w:basedOn w:val="a"/>
    <w:link w:val="a6"/>
    <w:uiPriority w:val="99"/>
    <w:unhideWhenUsed/>
    <w:rsid w:val="00F839AF"/>
    <w:pPr>
      <w:tabs>
        <w:tab w:val="center" w:pos="4320"/>
        <w:tab w:val="right" w:pos="8640"/>
      </w:tabs>
      <w:spacing w:after="0" w:line="240" w:lineRule="auto"/>
    </w:pPr>
    <w:rPr>
      <w:szCs w:val="20"/>
      <w:lang w:val="x-none" w:eastAsia="x-none"/>
    </w:rPr>
  </w:style>
  <w:style w:type="character" w:customStyle="1" w:styleId="a6">
    <w:name w:val="页脚 字符"/>
    <w:link w:val="a5"/>
    <w:uiPriority w:val="99"/>
    <w:rsid w:val="00F839AF"/>
    <w:rPr>
      <w:rFonts w:ascii="Times New Roman" w:hAnsi="Times New Roman"/>
      <w:sz w:val="24"/>
    </w:rPr>
  </w:style>
  <w:style w:type="table" w:styleId="a7">
    <w:name w:val="Table Grid"/>
    <w:basedOn w:val="a1"/>
    <w:uiPriority w:val="39"/>
    <w:rsid w:val="00F83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CF7E52"/>
    <w:pPr>
      <w:ind w:left="720"/>
      <w:contextualSpacing/>
    </w:pPr>
  </w:style>
  <w:style w:type="character" w:styleId="aa">
    <w:name w:val="Hyperlink"/>
    <w:uiPriority w:val="99"/>
    <w:unhideWhenUsed/>
    <w:rsid w:val="00C56485"/>
    <w:rPr>
      <w:color w:val="0000FF"/>
      <w:u w:val="single"/>
    </w:rPr>
  </w:style>
  <w:style w:type="paragraph" w:styleId="HTML">
    <w:name w:val="HTML Preformatted"/>
    <w:basedOn w:val="a"/>
    <w:link w:val="HTML0"/>
    <w:uiPriority w:val="99"/>
    <w:semiHidden/>
    <w:unhideWhenUsed/>
    <w:rsid w:val="009C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lang w:val="x-none" w:eastAsia="x-none"/>
    </w:rPr>
  </w:style>
  <w:style w:type="character" w:customStyle="1" w:styleId="HTML0">
    <w:name w:val="HTML 预设格式 字符"/>
    <w:link w:val="HTML"/>
    <w:uiPriority w:val="99"/>
    <w:semiHidden/>
    <w:rsid w:val="009C72DC"/>
    <w:rPr>
      <w:rFonts w:ascii="MingLiU" w:eastAsia="MingLiU" w:hAnsi="MingLiU" w:cs="MingLiU"/>
      <w:sz w:val="24"/>
      <w:szCs w:val="24"/>
    </w:rPr>
  </w:style>
  <w:style w:type="character" w:styleId="ab">
    <w:name w:val="Unresolved Mention"/>
    <w:uiPriority w:val="99"/>
    <w:semiHidden/>
    <w:unhideWhenUsed/>
    <w:rsid w:val="0089235F"/>
    <w:rPr>
      <w:color w:val="605E5C"/>
      <w:shd w:val="clear" w:color="auto" w:fill="E1DFDD"/>
    </w:rPr>
  </w:style>
  <w:style w:type="paragraph" w:styleId="ac">
    <w:name w:val="Normal (Web)"/>
    <w:basedOn w:val="a"/>
    <w:uiPriority w:val="99"/>
    <w:semiHidden/>
    <w:unhideWhenUsed/>
    <w:rsid w:val="00D75CB5"/>
    <w:pPr>
      <w:spacing w:before="100" w:beforeAutospacing="1" w:after="100" w:afterAutospacing="1" w:line="240" w:lineRule="auto"/>
    </w:pPr>
    <w:rPr>
      <w:rFonts w:eastAsia="Times New Roman"/>
      <w:szCs w:val="24"/>
    </w:rPr>
  </w:style>
  <w:style w:type="character" w:styleId="ad">
    <w:name w:val="Emphasis"/>
    <w:uiPriority w:val="20"/>
    <w:qFormat/>
    <w:rsid w:val="00D75CB5"/>
    <w:rPr>
      <w:i/>
      <w:iCs/>
    </w:rPr>
  </w:style>
  <w:style w:type="character" w:styleId="ae">
    <w:name w:val="FollowedHyperlink"/>
    <w:uiPriority w:val="99"/>
    <w:semiHidden/>
    <w:unhideWhenUsed/>
    <w:rsid w:val="008B5490"/>
    <w:rPr>
      <w:color w:val="954F72"/>
      <w:u w:val="single"/>
    </w:rPr>
  </w:style>
  <w:style w:type="paragraph" w:customStyle="1" w:styleId="1">
    <w:name w:val="书目1"/>
    <w:basedOn w:val="a"/>
    <w:link w:val="Bibliography"/>
    <w:rsid w:val="00C4035A"/>
    <w:pPr>
      <w:adjustRightInd w:val="0"/>
      <w:snapToGrid w:val="0"/>
      <w:spacing w:after="0" w:line="480" w:lineRule="auto"/>
      <w:ind w:left="720" w:hanging="720"/>
      <w:jc w:val="both"/>
    </w:pPr>
    <w:rPr>
      <w:sz w:val="20"/>
      <w:szCs w:val="20"/>
    </w:rPr>
  </w:style>
  <w:style w:type="character" w:customStyle="1" w:styleId="Bibliography">
    <w:name w:val="Bibliography 字符"/>
    <w:basedOn w:val="a0"/>
    <w:link w:val="1"/>
    <w:rsid w:val="00C4035A"/>
    <w:rPr>
      <w:rFonts w:ascii="Times New Roman" w:hAnsi="Times New Roman"/>
      <w:lang w:eastAsia="zh-TW"/>
    </w:rPr>
  </w:style>
  <w:style w:type="character" w:customStyle="1" w:styleId="a9">
    <w:name w:val="列表段落 字符"/>
    <w:link w:val="a8"/>
    <w:uiPriority w:val="34"/>
    <w:rsid w:val="00AB45F3"/>
    <w:rPr>
      <w:rFonts w:ascii="Times New Roman" w:hAnsi="Times New Roman"/>
      <w:sz w:val="24"/>
      <w:szCs w:val="22"/>
      <w:lang w:eastAsia="zh-TW"/>
    </w:rPr>
  </w:style>
  <w:style w:type="paragraph" w:styleId="af">
    <w:name w:val="Revision"/>
    <w:hidden/>
    <w:uiPriority w:val="99"/>
    <w:semiHidden/>
    <w:rsid w:val="00EB72BE"/>
    <w:rPr>
      <w:rFonts w:ascii="Times New Roman" w:hAnsi="Times New Roman"/>
      <w:sz w:val="24"/>
      <w:szCs w:val="22"/>
      <w:lang w:eastAsia="zh-TW"/>
    </w:rPr>
  </w:style>
  <w:style w:type="character" w:styleId="af0">
    <w:name w:val="annotation reference"/>
    <w:basedOn w:val="a0"/>
    <w:uiPriority w:val="99"/>
    <w:semiHidden/>
    <w:unhideWhenUsed/>
    <w:rsid w:val="00B04A02"/>
    <w:rPr>
      <w:sz w:val="21"/>
      <w:szCs w:val="21"/>
    </w:rPr>
  </w:style>
  <w:style w:type="paragraph" w:styleId="af1">
    <w:name w:val="annotation text"/>
    <w:basedOn w:val="a"/>
    <w:link w:val="af2"/>
    <w:uiPriority w:val="99"/>
    <w:unhideWhenUsed/>
    <w:rsid w:val="00B04A02"/>
  </w:style>
  <w:style w:type="character" w:customStyle="1" w:styleId="af2">
    <w:name w:val="批注文字 字符"/>
    <w:basedOn w:val="a0"/>
    <w:link w:val="af1"/>
    <w:uiPriority w:val="99"/>
    <w:rsid w:val="00B04A02"/>
    <w:rPr>
      <w:rFonts w:ascii="Times New Roman" w:hAnsi="Times New Roman"/>
      <w:sz w:val="24"/>
      <w:szCs w:val="22"/>
      <w:lang w:eastAsia="zh-TW"/>
    </w:rPr>
  </w:style>
  <w:style w:type="paragraph" w:styleId="af3">
    <w:name w:val="annotation subject"/>
    <w:basedOn w:val="af1"/>
    <w:next w:val="af1"/>
    <w:link w:val="af4"/>
    <w:uiPriority w:val="99"/>
    <w:semiHidden/>
    <w:unhideWhenUsed/>
    <w:rsid w:val="00B04A02"/>
    <w:rPr>
      <w:b/>
      <w:bCs/>
    </w:rPr>
  </w:style>
  <w:style w:type="character" w:customStyle="1" w:styleId="af4">
    <w:name w:val="批注主题 字符"/>
    <w:basedOn w:val="af2"/>
    <w:link w:val="af3"/>
    <w:uiPriority w:val="99"/>
    <w:semiHidden/>
    <w:rsid w:val="00B04A02"/>
    <w:rPr>
      <w:rFonts w:ascii="Times New Roman" w:hAnsi="Times New Roman"/>
      <w:b/>
      <w:bCs/>
      <w:sz w:val="24"/>
      <w:szCs w:val="22"/>
      <w:lang w:eastAsia="zh-TW"/>
    </w:rPr>
  </w:style>
  <w:style w:type="character" w:customStyle="1" w:styleId="apple-converted-space">
    <w:name w:val="apple-converted-space"/>
    <w:basedOn w:val="a0"/>
    <w:rsid w:val="00CF2EEA"/>
  </w:style>
  <w:style w:type="paragraph" w:customStyle="1" w:styleId="2">
    <w:name w:val="书目2"/>
    <w:basedOn w:val="a"/>
    <w:link w:val="Bibliography1"/>
    <w:rsid w:val="00CB183D"/>
    <w:pPr>
      <w:autoSpaceDE w:val="0"/>
      <w:autoSpaceDN w:val="0"/>
      <w:adjustRightInd w:val="0"/>
      <w:spacing w:after="0" w:line="480" w:lineRule="auto"/>
      <w:ind w:left="720" w:hanging="720"/>
    </w:pPr>
  </w:style>
  <w:style w:type="character" w:customStyle="1" w:styleId="Bibliography1">
    <w:name w:val="Bibliography 字符1"/>
    <w:basedOn w:val="a0"/>
    <w:link w:val="2"/>
    <w:rsid w:val="00CB183D"/>
    <w:rPr>
      <w:rFonts w:ascii="Times New Roman" w:hAnsi="Times New Roman"/>
      <w:sz w:val="24"/>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961">
      <w:bodyDiv w:val="1"/>
      <w:marLeft w:val="0"/>
      <w:marRight w:val="0"/>
      <w:marTop w:val="0"/>
      <w:marBottom w:val="0"/>
      <w:divBdr>
        <w:top w:val="none" w:sz="0" w:space="0" w:color="auto"/>
        <w:left w:val="none" w:sz="0" w:space="0" w:color="auto"/>
        <w:bottom w:val="none" w:sz="0" w:space="0" w:color="auto"/>
        <w:right w:val="none" w:sz="0" w:space="0" w:color="auto"/>
      </w:divBdr>
    </w:div>
    <w:div w:id="849877396">
      <w:bodyDiv w:val="1"/>
      <w:marLeft w:val="0"/>
      <w:marRight w:val="0"/>
      <w:marTop w:val="0"/>
      <w:marBottom w:val="0"/>
      <w:divBdr>
        <w:top w:val="none" w:sz="0" w:space="0" w:color="auto"/>
        <w:left w:val="none" w:sz="0" w:space="0" w:color="auto"/>
        <w:bottom w:val="none" w:sz="0" w:space="0" w:color="auto"/>
        <w:right w:val="none" w:sz="0" w:space="0" w:color="auto"/>
      </w:divBdr>
    </w:div>
    <w:div w:id="1044137143">
      <w:bodyDiv w:val="1"/>
      <w:marLeft w:val="0"/>
      <w:marRight w:val="0"/>
      <w:marTop w:val="0"/>
      <w:marBottom w:val="0"/>
      <w:divBdr>
        <w:top w:val="none" w:sz="0" w:space="0" w:color="auto"/>
        <w:left w:val="none" w:sz="0" w:space="0" w:color="auto"/>
        <w:bottom w:val="none" w:sz="0" w:space="0" w:color="auto"/>
        <w:right w:val="none" w:sz="0" w:space="0" w:color="auto"/>
      </w:divBdr>
    </w:div>
    <w:div w:id="1561938927">
      <w:bodyDiv w:val="1"/>
      <w:marLeft w:val="0"/>
      <w:marRight w:val="0"/>
      <w:marTop w:val="0"/>
      <w:marBottom w:val="0"/>
      <w:divBdr>
        <w:top w:val="none" w:sz="0" w:space="0" w:color="auto"/>
        <w:left w:val="none" w:sz="0" w:space="0" w:color="auto"/>
        <w:bottom w:val="none" w:sz="0" w:space="0" w:color="auto"/>
        <w:right w:val="none" w:sz="0" w:space="0" w:color="auto"/>
      </w:divBdr>
    </w:div>
    <w:div w:id="201248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E3EFAF-E919-46D1-866C-32421A2FB747}">
  <we:reference id="wa200000368" version="1.0.0.0" store="zh-CN"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23A0D-25A2-416C-BA90-0665EAFC0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14678</Words>
  <Characters>83668</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98150</CharactersWithSpaces>
  <SharedDoc>false</SharedDoc>
  <HLinks>
    <vt:vector size="18" baseType="variant">
      <vt:variant>
        <vt:i4>1114126</vt:i4>
      </vt:variant>
      <vt:variant>
        <vt:i4>102</vt:i4>
      </vt:variant>
      <vt:variant>
        <vt:i4>0</vt:i4>
      </vt:variant>
      <vt:variant>
        <vt:i4>5</vt:i4>
      </vt:variant>
      <vt:variant>
        <vt:lpwstr>https://doi.org/10.3969/j.issn.1001-3563.2008.06.065</vt:lpwstr>
      </vt:variant>
      <vt:variant>
        <vt:lpwstr/>
      </vt:variant>
      <vt:variant>
        <vt:i4>852039</vt:i4>
      </vt:variant>
      <vt:variant>
        <vt:i4>99</vt:i4>
      </vt:variant>
      <vt:variant>
        <vt:i4>0</vt:i4>
      </vt:variant>
      <vt:variant>
        <vt:i4>5</vt:i4>
      </vt:variant>
      <vt:variant>
        <vt:lpwstr>https://doi.org/10.1080/07421222.2015.1138373</vt:lpwstr>
      </vt:variant>
      <vt:variant>
        <vt:lpwstr/>
      </vt:variant>
      <vt:variant>
        <vt:i4>2162808</vt:i4>
      </vt:variant>
      <vt:variant>
        <vt:i4>96</vt:i4>
      </vt:variant>
      <vt:variant>
        <vt:i4>0</vt:i4>
      </vt:variant>
      <vt:variant>
        <vt:i4>5</vt:i4>
      </vt:variant>
      <vt:variant>
        <vt:lpwstr>https://doi.org/10.1111/j.1540-5915.1971.tb01593.x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cp:lastModifiedBy>Tian MingHao</cp:lastModifiedBy>
  <cp:revision>12</cp:revision>
  <cp:lastPrinted>2022-09-29T02:07:00Z</cp:lastPrinted>
  <dcterms:created xsi:type="dcterms:W3CDTF">2022-09-29T01:35:00Z</dcterms:created>
  <dcterms:modified xsi:type="dcterms:W3CDTF">2022-10-13T04:30:00Z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id="VZeFDero"/&gt;&lt;style id="http://www.zotero.org/styles/apa" locale="en-US" hasBibliography="1" bibliographyStyleHasBeenSet="1"/&gt;&lt;prefs&gt;&lt;pref name="fieldType" value="Field"/&gt;&lt;pref name="delayCitationU</vt:lpwstr>
  </property>
  <property fmtid="{D5CDD505-2E9C-101B-9397-08002B2CF9AE}" pid="3" name="ZOTERO_PREF_2">
    <vt:lpwstr>pdates" value="true"/&gt;&lt;/prefs&gt;&lt;/data&gt;</vt:lpwstr>
  </property>
</Properties>
</file>