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BB5B3" w14:textId="77777777" w:rsidR="00143E20" w:rsidRDefault="00143E20" w:rsidP="00744D85">
      <w:pPr>
        <w:adjustRightInd w:val="0"/>
        <w:snapToGrid w:val="0"/>
        <w:spacing w:after="0" w:line="240" w:lineRule="auto"/>
        <w:jc w:val="center"/>
        <w:rPr>
          <w:b/>
          <w:bCs/>
          <w:sz w:val="28"/>
          <w:szCs w:val="28"/>
        </w:rPr>
      </w:pPr>
      <w:r>
        <w:rPr>
          <w:b/>
          <w:bCs/>
          <w:sz w:val="28"/>
          <w:szCs w:val="28"/>
        </w:rPr>
        <w:t>Would you mind your language, please?</w:t>
      </w:r>
    </w:p>
    <w:p w14:paraId="729A6092" w14:textId="7CCAA5BB" w:rsidR="00744D85" w:rsidRPr="00F1320F" w:rsidRDefault="002A000D" w:rsidP="00744D85">
      <w:pPr>
        <w:adjustRightInd w:val="0"/>
        <w:snapToGrid w:val="0"/>
        <w:spacing w:after="0" w:line="240" w:lineRule="auto"/>
        <w:jc w:val="center"/>
        <w:rPr>
          <w:b/>
          <w:sz w:val="28"/>
          <w:szCs w:val="28"/>
        </w:rPr>
      </w:pPr>
      <w:r w:rsidRPr="002A000D">
        <w:rPr>
          <w:b/>
          <w:bCs/>
          <w:sz w:val="28"/>
          <w:szCs w:val="28"/>
        </w:rPr>
        <w:t xml:space="preserve">Consumer Incivility </w:t>
      </w:r>
      <w:r w:rsidR="00143E20">
        <w:rPr>
          <w:b/>
          <w:bCs/>
          <w:sz w:val="28"/>
          <w:szCs w:val="28"/>
        </w:rPr>
        <w:t xml:space="preserve">on </w:t>
      </w:r>
      <w:r w:rsidRPr="002A000D">
        <w:rPr>
          <w:b/>
          <w:bCs/>
          <w:sz w:val="28"/>
          <w:szCs w:val="28"/>
        </w:rPr>
        <w:t>Social Media</w:t>
      </w:r>
      <w:r>
        <w:rPr>
          <w:b/>
          <w:bCs/>
          <w:sz w:val="28"/>
          <w:szCs w:val="28"/>
        </w:rPr>
        <w:t xml:space="preserve"> Platform</w:t>
      </w:r>
      <w:r w:rsidR="003E120A">
        <w:rPr>
          <w:b/>
          <w:bCs/>
          <w:sz w:val="28"/>
          <w:szCs w:val="28"/>
        </w:rPr>
        <w:t>s</w:t>
      </w:r>
    </w:p>
    <w:p w14:paraId="2777C211" w14:textId="77777777" w:rsidR="00744D85" w:rsidRPr="00F1320F" w:rsidRDefault="00744D85" w:rsidP="00744D85">
      <w:pPr>
        <w:adjustRightInd w:val="0"/>
        <w:snapToGrid w:val="0"/>
        <w:spacing w:after="0" w:line="240" w:lineRule="auto"/>
        <w:jc w:val="center"/>
        <w:rPr>
          <w:bCs/>
          <w:sz w:val="28"/>
          <w:szCs w:val="28"/>
        </w:rPr>
      </w:pPr>
      <w:r w:rsidRPr="00F1320F">
        <w:rPr>
          <w:bCs/>
          <w:i/>
          <w:sz w:val="28"/>
          <w:szCs w:val="28"/>
        </w:rPr>
        <w:t>(Full Paper)</w:t>
      </w:r>
    </w:p>
    <w:p w14:paraId="385CD7EC" w14:textId="428C8DCC" w:rsidR="00744D85" w:rsidRPr="00F1320F" w:rsidRDefault="00744D85" w:rsidP="00744D85">
      <w:pPr>
        <w:adjustRightInd w:val="0"/>
        <w:snapToGrid w:val="0"/>
        <w:spacing w:after="0" w:line="240" w:lineRule="auto"/>
        <w:jc w:val="center"/>
        <w:rPr>
          <w:szCs w:val="24"/>
        </w:rPr>
      </w:pPr>
      <w:r w:rsidRPr="00F1320F">
        <w:rPr>
          <w:bCs/>
          <w:szCs w:val="24"/>
        </w:rPr>
        <w:t>Maqsood H. Bhutto</w:t>
      </w:r>
      <w:r w:rsidR="000A5C67">
        <w:rPr>
          <w:bCs/>
          <w:szCs w:val="24"/>
        </w:rPr>
        <w:t xml:space="preserve"> </w:t>
      </w:r>
      <w:r w:rsidR="00B10A86">
        <w:rPr>
          <w:szCs w:val="24"/>
          <w:vertAlign w:val="superscript"/>
        </w:rPr>
        <w:t>1,</w:t>
      </w:r>
      <w:r w:rsidR="00A25872" w:rsidRPr="00F1320F">
        <w:rPr>
          <w:bCs/>
          <w:szCs w:val="24"/>
        </w:rPr>
        <w:t xml:space="preserve"> </w:t>
      </w:r>
      <w:r w:rsidRPr="00F1320F">
        <w:rPr>
          <w:bCs/>
          <w:szCs w:val="24"/>
        </w:rPr>
        <w:br/>
        <w:t>Aijaz A. Shaikh</w:t>
      </w:r>
      <w:r w:rsidR="000A5C67">
        <w:rPr>
          <w:bCs/>
          <w:szCs w:val="24"/>
        </w:rPr>
        <w:t xml:space="preserve"> </w:t>
      </w:r>
      <w:r w:rsidR="00B10A86" w:rsidRPr="00B10A86">
        <w:rPr>
          <w:bCs/>
          <w:szCs w:val="24"/>
          <w:vertAlign w:val="superscript"/>
        </w:rPr>
        <w:t>2</w:t>
      </w:r>
      <w:r w:rsidR="00A25872">
        <w:rPr>
          <w:bCs/>
          <w:szCs w:val="24"/>
          <w:vertAlign w:val="superscript"/>
        </w:rPr>
        <w:t xml:space="preserve"> </w:t>
      </w:r>
      <w:r w:rsidR="00A25872" w:rsidRPr="00170C78">
        <w:rPr>
          <w:szCs w:val="24"/>
        </w:rPr>
        <w:t>*</w:t>
      </w:r>
      <w:r w:rsidRPr="00F1320F">
        <w:rPr>
          <w:bCs/>
          <w:szCs w:val="24"/>
        </w:rPr>
        <w:t xml:space="preserve"> </w:t>
      </w:r>
    </w:p>
    <w:p w14:paraId="5CD45917" w14:textId="3FC59258" w:rsidR="006740CC" w:rsidRPr="00C44680" w:rsidRDefault="002A000D" w:rsidP="00744D85">
      <w:pPr>
        <w:adjustRightInd w:val="0"/>
        <w:snapToGrid w:val="0"/>
        <w:spacing w:after="0" w:line="240" w:lineRule="auto"/>
        <w:jc w:val="center"/>
        <w:rPr>
          <w:bCs/>
          <w:szCs w:val="24"/>
          <w:u w:val="single"/>
        </w:rPr>
      </w:pPr>
      <w:r w:rsidRPr="00C44680">
        <w:rPr>
          <w:bCs/>
          <w:szCs w:val="24"/>
        </w:rPr>
        <w:t>Heikki Karjaluoto</w:t>
      </w:r>
      <w:r w:rsidR="000A5C67" w:rsidRPr="00C44680">
        <w:rPr>
          <w:bCs/>
          <w:szCs w:val="24"/>
        </w:rPr>
        <w:t xml:space="preserve"> </w:t>
      </w:r>
      <w:r w:rsidR="00B10A86" w:rsidRPr="00C44680">
        <w:rPr>
          <w:bCs/>
          <w:szCs w:val="24"/>
          <w:vertAlign w:val="superscript"/>
        </w:rPr>
        <w:t>3</w:t>
      </w:r>
    </w:p>
    <w:p w14:paraId="11A84229" w14:textId="77777777" w:rsidR="00F03B1E" w:rsidRPr="00CF7E52" w:rsidRDefault="00F03B1E" w:rsidP="00F03B1E">
      <w:pPr>
        <w:adjustRightInd w:val="0"/>
        <w:snapToGrid w:val="0"/>
        <w:spacing w:after="0" w:line="240" w:lineRule="auto"/>
        <w:jc w:val="both"/>
        <w:rPr>
          <w:sz w:val="20"/>
          <w:szCs w:val="20"/>
        </w:rPr>
      </w:pPr>
      <w:r w:rsidRPr="00CF7E52">
        <w:rPr>
          <w:sz w:val="20"/>
          <w:szCs w:val="20"/>
        </w:rPr>
        <w:t>_____________________</w:t>
      </w:r>
    </w:p>
    <w:p w14:paraId="7EFEEB2B" w14:textId="389640D5" w:rsidR="00F03B1E" w:rsidRPr="00CF7E52" w:rsidRDefault="00F03B1E" w:rsidP="00F03B1E">
      <w:pPr>
        <w:adjustRightInd w:val="0"/>
        <w:snapToGrid w:val="0"/>
        <w:spacing w:after="0" w:line="240" w:lineRule="auto"/>
        <w:jc w:val="both"/>
        <w:rPr>
          <w:sz w:val="20"/>
          <w:szCs w:val="20"/>
        </w:rPr>
      </w:pPr>
      <w:r w:rsidRPr="00CF7E52">
        <w:rPr>
          <w:sz w:val="20"/>
          <w:szCs w:val="20"/>
        </w:rPr>
        <w:t>*Corresponding author</w:t>
      </w:r>
    </w:p>
    <w:p w14:paraId="1490CD61" w14:textId="1F355EA1" w:rsidR="00F03B1E" w:rsidRDefault="00F03B1E" w:rsidP="00F03B1E">
      <w:pPr>
        <w:adjustRightInd w:val="0"/>
        <w:snapToGrid w:val="0"/>
        <w:spacing w:after="0" w:line="240" w:lineRule="auto"/>
        <w:jc w:val="both"/>
        <w:rPr>
          <w:sz w:val="20"/>
          <w:szCs w:val="20"/>
        </w:rPr>
      </w:pPr>
      <w:r w:rsidRPr="00B9550D">
        <w:rPr>
          <w:sz w:val="20"/>
          <w:szCs w:val="20"/>
          <w:vertAlign w:val="superscript"/>
        </w:rPr>
        <w:t>1</w:t>
      </w:r>
      <w:r w:rsidRPr="00B9550D">
        <w:rPr>
          <w:sz w:val="20"/>
          <w:szCs w:val="20"/>
        </w:rPr>
        <w:t xml:space="preserve"> </w:t>
      </w:r>
      <w:r w:rsidR="00773ACB" w:rsidRPr="00F03B1E">
        <w:rPr>
          <w:sz w:val="20"/>
          <w:szCs w:val="20"/>
        </w:rPr>
        <w:t xml:space="preserve">Jyväskylä </w:t>
      </w:r>
      <w:r w:rsidRPr="00F03B1E">
        <w:rPr>
          <w:sz w:val="20"/>
          <w:szCs w:val="20"/>
        </w:rPr>
        <w:t xml:space="preserve">University </w:t>
      </w:r>
      <w:r w:rsidR="00773ACB">
        <w:rPr>
          <w:sz w:val="20"/>
          <w:szCs w:val="20"/>
        </w:rPr>
        <w:t>School of Business and Economics</w:t>
      </w:r>
      <w:r w:rsidRPr="00F03B1E">
        <w:rPr>
          <w:sz w:val="20"/>
          <w:szCs w:val="20"/>
        </w:rPr>
        <w:t>,</w:t>
      </w:r>
      <w:r w:rsidR="00A6397E" w:rsidRPr="00A6397E">
        <w:rPr>
          <w:sz w:val="20"/>
          <w:szCs w:val="20"/>
        </w:rPr>
        <w:t xml:space="preserve"> </w:t>
      </w:r>
      <w:r w:rsidR="00A6397E" w:rsidRPr="00F03B1E">
        <w:rPr>
          <w:sz w:val="20"/>
          <w:szCs w:val="20"/>
        </w:rPr>
        <w:t>Jyväskylä</w:t>
      </w:r>
      <w:r w:rsidR="00A6397E">
        <w:rPr>
          <w:sz w:val="20"/>
          <w:szCs w:val="20"/>
        </w:rPr>
        <w:t>,</w:t>
      </w:r>
      <w:r w:rsidRPr="00F03B1E">
        <w:rPr>
          <w:sz w:val="20"/>
          <w:szCs w:val="20"/>
        </w:rPr>
        <w:t xml:space="preserve"> Finland</w:t>
      </w:r>
      <w:r>
        <w:rPr>
          <w:sz w:val="20"/>
          <w:szCs w:val="20"/>
        </w:rPr>
        <w:t xml:space="preserve">, </w:t>
      </w:r>
      <w:r w:rsidR="00A85600">
        <w:rPr>
          <w:sz w:val="20"/>
          <w:szCs w:val="20"/>
        </w:rPr>
        <w:t xml:space="preserve">Doctoral Researcher, </w:t>
      </w:r>
      <w:r w:rsidRPr="00F03B1E">
        <w:rPr>
          <w:sz w:val="20"/>
          <w:szCs w:val="20"/>
        </w:rPr>
        <w:t>maqsood.h.bhutto@jyu.fi</w:t>
      </w:r>
    </w:p>
    <w:p w14:paraId="1223C65A" w14:textId="3E665711" w:rsidR="00F03B1E" w:rsidRPr="00802544" w:rsidRDefault="00F03B1E" w:rsidP="00F03B1E">
      <w:pPr>
        <w:adjustRightInd w:val="0"/>
        <w:snapToGrid w:val="0"/>
        <w:spacing w:after="0" w:line="240" w:lineRule="auto"/>
        <w:jc w:val="both"/>
        <w:rPr>
          <w:sz w:val="20"/>
          <w:szCs w:val="20"/>
        </w:rPr>
      </w:pPr>
      <w:r>
        <w:rPr>
          <w:sz w:val="20"/>
          <w:szCs w:val="20"/>
          <w:vertAlign w:val="superscript"/>
        </w:rPr>
        <w:t xml:space="preserve">2 </w:t>
      </w:r>
      <w:r w:rsidR="00773ACB" w:rsidRPr="00F03B1E">
        <w:rPr>
          <w:sz w:val="20"/>
          <w:szCs w:val="20"/>
        </w:rPr>
        <w:t xml:space="preserve">Jyväskylä University </w:t>
      </w:r>
      <w:r w:rsidR="00773ACB">
        <w:rPr>
          <w:sz w:val="20"/>
          <w:szCs w:val="20"/>
        </w:rPr>
        <w:t>School of Business and Economics</w:t>
      </w:r>
      <w:r w:rsidRPr="00F03B1E">
        <w:rPr>
          <w:sz w:val="20"/>
          <w:szCs w:val="20"/>
        </w:rPr>
        <w:t xml:space="preserve">, </w:t>
      </w:r>
      <w:r w:rsidR="00A6397E" w:rsidRPr="00F03B1E">
        <w:rPr>
          <w:sz w:val="20"/>
          <w:szCs w:val="20"/>
        </w:rPr>
        <w:t>Jyväskylä</w:t>
      </w:r>
      <w:r w:rsidR="00A6397E">
        <w:rPr>
          <w:sz w:val="20"/>
          <w:szCs w:val="20"/>
        </w:rPr>
        <w:t xml:space="preserve">, </w:t>
      </w:r>
      <w:r w:rsidRPr="00F03B1E">
        <w:rPr>
          <w:sz w:val="20"/>
          <w:szCs w:val="20"/>
        </w:rPr>
        <w:t xml:space="preserve">Finland, </w:t>
      </w:r>
      <w:r w:rsidR="00A85600">
        <w:rPr>
          <w:sz w:val="20"/>
          <w:szCs w:val="20"/>
        </w:rPr>
        <w:t xml:space="preserve">Postdoctoral Researcher, </w:t>
      </w:r>
      <w:r w:rsidRPr="00F03B1E">
        <w:rPr>
          <w:sz w:val="20"/>
          <w:szCs w:val="20"/>
        </w:rPr>
        <w:t>aijaz.a.shaikh@jyu.fi</w:t>
      </w:r>
    </w:p>
    <w:p w14:paraId="596AB7D2" w14:textId="2C567F89" w:rsidR="0041322C" w:rsidRPr="00B10A86" w:rsidRDefault="00F03B1E" w:rsidP="00B10A86">
      <w:pPr>
        <w:adjustRightInd w:val="0"/>
        <w:snapToGrid w:val="0"/>
        <w:spacing w:after="0" w:line="240" w:lineRule="auto"/>
        <w:jc w:val="both"/>
        <w:rPr>
          <w:sz w:val="20"/>
          <w:szCs w:val="20"/>
        </w:rPr>
      </w:pPr>
      <w:r>
        <w:rPr>
          <w:sz w:val="20"/>
          <w:szCs w:val="20"/>
          <w:vertAlign w:val="superscript"/>
        </w:rPr>
        <w:t xml:space="preserve">3 </w:t>
      </w:r>
      <w:r w:rsidR="00773ACB" w:rsidRPr="00F03B1E">
        <w:rPr>
          <w:sz w:val="20"/>
          <w:szCs w:val="20"/>
        </w:rPr>
        <w:t xml:space="preserve">Jyväskylä University </w:t>
      </w:r>
      <w:r w:rsidR="00773ACB">
        <w:rPr>
          <w:sz w:val="20"/>
          <w:szCs w:val="20"/>
        </w:rPr>
        <w:t>School of Business and Economics</w:t>
      </w:r>
      <w:r w:rsidRPr="00F03B1E">
        <w:rPr>
          <w:sz w:val="20"/>
          <w:szCs w:val="20"/>
        </w:rPr>
        <w:t xml:space="preserve">, </w:t>
      </w:r>
      <w:r w:rsidR="00A6397E" w:rsidRPr="00F03B1E">
        <w:rPr>
          <w:sz w:val="20"/>
          <w:szCs w:val="20"/>
        </w:rPr>
        <w:t>Jyväskylä</w:t>
      </w:r>
      <w:r w:rsidR="00A6397E">
        <w:rPr>
          <w:sz w:val="20"/>
          <w:szCs w:val="20"/>
        </w:rPr>
        <w:t xml:space="preserve">, </w:t>
      </w:r>
      <w:r w:rsidRPr="00F03B1E">
        <w:rPr>
          <w:sz w:val="20"/>
          <w:szCs w:val="20"/>
        </w:rPr>
        <w:t xml:space="preserve">Finland, </w:t>
      </w:r>
      <w:r w:rsidR="00A85600">
        <w:rPr>
          <w:sz w:val="20"/>
          <w:szCs w:val="20"/>
        </w:rPr>
        <w:t xml:space="preserve">Professor of Marketing, </w:t>
      </w:r>
      <w:r w:rsidRPr="00F03B1E">
        <w:rPr>
          <w:sz w:val="20"/>
          <w:szCs w:val="20"/>
        </w:rPr>
        <w:t>heikki.karjaluoto@jyu.fi</w:t>
      </w:r>
      <w:r>
        <w:rPr>
          <w:sz w:val="20"/>
          <w:szCs w:val="20"/>
        </w:rPr>
        <w:t xml:space="preserve"> </w:t>
      </w:r>
    </w:p>
    <w:p w14:paraId="6E1AE5C7" w14:textId="77777777" w:rsidR="00F839AF" w:rsidRPr="00F03B1E" w:rsidRDefault="00F839AF" w:rsidP="00CF7E52">
      <w:pPr>
        <w:adjustRightInd w:val="0"/>
        <w:snapToGrid w:val="0"/>
        <w:spacing w:after="0" w:line="240" w:lineRule="auto"/>
        <w:jc w:val="both"/>
        <w:rPr>
          <w:sz w:val="20"/>
          <w:szCs w:val="20"/>
        </w:rPr>
      </w:pPr>
      <w:r w:rsidRPr="00F03B1E">
        <w:rPr>
          <w:sz w:val="20"/>
          <w:szCs w:val="20"/>
        </w:rPr>
        <w:t xml:space="preserve"> </w:t>
      </w:r>
    </w:p>
    <w:p w14:paraId="18EDF21D" w14:textId="77777777" w:rsidR="00B255D6" w:rsidRPr="004A2FA1" w:rsidRDefault="00B255D6" w:rsidP="00B255D6">
      <w:pPr>
        <w:adjustRightInd w:val="0"/>
        <w:snapToGrid w:val="0"/>
        <w:spacing w:after="0" w:line="240" w:lineRule="auto"/>
        <w:jc w:val="center"/>
        <w:rPr>
          <w:rFonts w:eastAsia="DFKai-SB"/>
          <w:b/>
          <w:caps/>
          <w:sz w:val="20"/>
          <w:szCs w:val="20"/>
        </w:rPr>
      </w:pPr>
      <w:r w:rsidRPr="004A2FA1">
        <w:rPr>
          <w:rFonts w:eastAsia="DFKai-SB"/>
          <w:b/>
          <w:caps/>
          <w:sz w:val="20"/>
          <w:szCs w:val="20"/>
        </w:rPr>
        <w:t>ABSTRACT</w:t>
      </w:r>
    </w:p>
    <w:p w14:paraId="49976A78" w14:textId="77777777" w:rsidR="006E5FEA" w:rsidRPr="006E5FEA" w:rsidRDefault="006E5FEA" w:rsidP="006E5FEA">
      <w:pPr>
        <w:adjustRightInd w:val="0"/>
        <w:snapToGrid w:val="0"/>
        <w:spacing w:after="0" w:line="240" w:lineRule="auto"/>
        <w:jc w:val="both"/>
        <w:rPr>
          <w:sz w:val="20"/>
          <w:szCs w:val="20"/>
          <w:lang w:val="en-GB"/>
        </w:rPr>
      </w:pPr>
      <w:r w:rsidRPr="006E5FEA">
        <w:rPr>
          <w:sz w:val="20"/>
          <w:szCs w:val="20"/>
          <w:lang w:val="en-GB"/>
        </w:rPr>
        <w:t xml:space="preserve">Consumer incivility on social media platforms has recently gained the attention of academic researchers. However, few studies have presented the role that consumer incivility plays in forming social media perspectives (e.g. experiencing uncivil comments or rude replies on Facebook, Twitter and Instagram). Using the stimulus-organism-response theory, this study investigated the impacts of consumer incivility on social media brand representatives’ efforts to deal with it, social media brand community participation and social media brand trust. The study also investigated the influence of social media brand representatives’ efforts to deal with consumer incivility on social media brand community participation and examined the relationships of these two factors with social media brand trust. Two hundred and forty social media consumers who had witnessed the effect of consumer incivility on social media community platforms completed the study questionnaires. SPSS 23 and SmartPLS-SEM (v. 3.3.7) were used to analyse the data obtained and to test the hypotheses. The results revealed that consumer incivility was significantly inversely associated with the causal constructs. The present study provided novel insights for high-tech social media industries, including digital marketers and community developers. </w:t>
      </w:r>
    </w:p>
    <w:p w14:paraId="50DC61D9" w14:textId="77777777" w:rsidR="006E5FEA" w:rsidRPr="006E5FEA" w:rsidRDefault="006E5FEA" w:rsidP="006E5FEA">
      <w:pPr>
        <w:adjustRightInd w:val="0"/>
        <w:snapToGrid w:val="0"/>
        <w:spacing w:after="0" w:line="240" w:lineRule="auto"/>
        <w:jc w:val="both"/>
        <w:rPr>
          <w:sz w:val="20"/>
          <w:szCs w:val="20"/>
          <w:lang w:val="en-GB"/>
        </w:rPr>
      </w:pPr>
    </w:p>
    <w:p w14:paraId="22197E70" w14:textId="60EA250C" w:rsidR="00B255D6" w:rsidRPr="004A2FA1" w:rsidRDefault="006E5FEA" w:rsidP="006E5FEA">
      <w:pPr>
        <w:adjustRightInd w:val="0"/>
        <w:snapToGrid w:val="0"/>
        <w:spacing w:after="0" w:line="240" w:lineRule="auto"/>
        <w:jc w:val="both"/>
        <w:rPr>
          <w:sz w:val="20"/>
          <w:szCs w:val="20"/>
        </w:rPr>
      </w:pPr>
      <w:r w:rsidRPr="006E5FEA">
        <w:rPr>
          <w:bCs/>
          <w:i/>
          <w:sz w:val="20"/>
          <w:szCs w:val="20"/>
          <w:lang w:val="en-GB"/>
        </w:rPr>
        <w:t>Keywords</w:t>
      </w:r>
      <w:r w:rsidRPr="006E5FEA">
        <w:rPr>
          <w:bCs/>
          <w:sz w:val="20"/>
          <w:szCs w:val="20"/>
          <w:lang w:val="en-GB"/>
        </w:rPr>
        <w:t>:</w:t>
      </w:r>
      <w:r w:rsidRPr="006E5FEA">
        <w:rPr>
          <w:bCs/>
          <w:iCs/>
          <w:sz w:val="20"/>
          <w:szCs w:val="20"/>
          <w:lang w:val="en-GB"/>
        </w:rPr>
        <w:t xml:space="preserve"> </w:t>
      </w:r>
      <w:r w:rsidR="000124A1">
        <w:rPr>
          <w:bCs/>
          <w:iCs/>
          <w:sz w:val="20"/>
          <w:szCs w:val="20"/>
          <w:lang w:val="en-GB"/>
        </w:rPr>
        <w:t>C</w:t>
      </w:r>
      <w:r w:rsidRPr="006E5FEA">
        <w:rPr>
          <w:bCs/>
          <w:iCs/>
          <w:sz w:val="20"/>
          <w:szCs w:val="20"/>
          <w:lang w:val="en-GB"/>
        </w:rPr>
        <w:t xml:space="preserve">onsumer incivility, social media brand community participation, social media brand </w:t>
      </w:r>
      <w:r w:rsidRPr="006E5FEA">
        <w:rPr>
          <w:sz w:val="20"/>
          <w:szCs w:val="20"/>
          <w:lang w:val="en-GB"/>
        </w:rPr>
        <w:t xml:space="preserve">representatives’ </w:t>
      </w:r>
      <w:r w:rsidRPr="006E5FEA">
        <w:rPr>
          <w:bCs/>
          <w:iCs/>
          <w:sz w:val="20"/>
          <w:szCs w:val="20"/>
          <w:lang w:val="en-GB"/>
        </w:rPr>
        <w:t>efforts, social media brand trust</w:t>
      </w:r>
      <w:r>
        <w:rPr>
          <w:bCs/>
          <w:iCs/>
          <w:sz w:val="20"/>
          <w:szCs w:val="20"/>
          <w:lang w:val="en-GB"/>
        </w:rPr>
        <w:t xml:space="preserve"> </w:t>
      </w:r>
    </w:p>
    <w:p w14:paraId="50C6A254" w14:textId="77777777" w:rsidR="000B17B5" w:rsidRDefault="000B17B5" w:rsidP="00B255D6">
      <w:pPr>
        <w:adjustRightInd w:val="0"/>
        <w:snapToGrid w:val="0"/>
        <w:spacing w:after="0" w:line="240" w:lineRule="auto"/>
        <w:jc w:val="center"/>
        <w:rPr>
          <w:rFonts w:eastAsia="DFKai-SB"/>
          <w:b/>
          <w:caps/>
          <w:sz w:val="20"/>
          <w:szCs w:val="20"/>
        </w:rPr>
      </w:pPr>
    </w:p>
    <w:p w14:paraId="47144F20" w14:textId="10CAD7D4" w:rsidR="00B255D6" w:rsidRPr="004A2FA1" w:rsidRDefault="00B255D6" w:rsidP="00B255D6">
      <w:pPr>
        <w:adjustRightInd w:val="0"/>
        <w:snapToGrid w:val="0"/>
        <w:spacing w:after="0" w:line="240" w:lineRule="auto"/>
        <w:jc w:val="center"/>
        <w:rPr>
          <w:b/>
          <w:caps/>
          <w:sz w:val="20"/>
          <w:szCs w:val="20"/>
        </w:rPr>
      </w:pPr>
      <w:r w:rsidRPr="004A2FA1">
        <w:rPr>
          <w:rFonts w:eastAsia="DFKai-SB"/>
          <w:b/>
          <w:caps/>
          <w:sz w:val="20"/>
          <w:szCs w:val="20"/>
        </w:rPr>
        <w:t>Introduction</w:t>
      </w:r>
    </w:p>
    <w:p w14:paraId="4FC32AC1"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xml:space="preserve">Should social media brands (e.g. Facebook, Twitter, Instagram) control consumer incivility on their social media platforms? A large majority of Americans and other Westerners view consumer incivility as a problem and believe that social media must be blamed for it. This finding is supported by many other surveys (e.g. </w:t>
      </w:r>
      <w:proofErr w:type="spellStart"/>
      <w:r w:rsidRPr="006E5FEA">
        <w:rPr>
          <w:rFonts w:eastAsia="Times New Roman"/>
          <w:sz w:val="20"/>
          <w:szCs w:val="20"/>
          <w:lang w:val="en-GB" w:eastAsia="en-US"/>
        </w:rPr>
        <w:t>Bacile</w:t>
      </w:r>
      <w:proofErr w:type="spellEnd"/>
      <w:r w:rsidRPr="006E5FEA">
        <w:rPr>
          <w:rFonts w:eastAsia="Times New Roman"/>
          <w:sz w:val="20"/>
          <w:szCs w:val="20"/>
          <w:lang w:val="en-GB" w:eastAsia="en-US"/>
        </w:rPr>
        <w:t xml:space="preserve"> </w:t>
      </w:r>
      <w:r w:rsidRPr="006E5FEA">
        <w:rPr>
          <w:rFonts w:eastAsia="Times New Roman"/>
          <w:i/>
          <w:iCs/>
          <w:sz w:val="20"/>
          <w:szCs w:val="20"/>
          <w:lang w:val="en-GB" w:eastAsia="en-US"/>
        </w:rPr>
        <w:t>et al</w:t>
      </w:r>
      <w:r w:rsidRPr="006E5FEA">
        <w:rPr>
          <w:rFonts w:eastAsia="Times New Roman"/>
          <w:sz w:val="20"/>
          <w:szCs w:val="20"/>
          <w:lang w:val="en-GB" w:eastAsia="en-US"/>
        </w:rPr>
        <w:t>., 2018; Shandwick, 2019) that documented a perception of rising consumer incivility because many consumers had experienced incivility on social media platforms. Thus, social media is considered the root of incivility. Sometimes, consumer incivility takes place on a brand’s social media page, which means that social media brands are faced with a new question: Should they police the rising incivility taking place on their brand’s social media pages? While social media brand communities foster global connectivity, they also foster cyber-conflict cases. To illustrate, around 7.9 million hate words were deleted from Facebook in the first quarter of 2021. Consequently, 36% of US adults have minimised their social media use due to their experiences of online harassment (Johnson, 2021).</w:t>
      </w:r>
    </w:p>
    <w:p w14:paraId="0D4C19A4"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w:t>
      </w:r>
    </w:p>
    <w:p w14:paraId="3B804ECB"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xml:space="preserve">Recent studies (e.g. </w:t>
      </w:r>
      <w:proofErr w:type="spellStart"/>
      <w:r w:rsidRPr="006E5FEA">
        <w:rPr>
          <w:rFonts w:eastAsia="Times New Roman"/>
          <w:sz w:val="20"/>
          <w:szCs w:val="20"/>
          <w:lang w:val="en-GB" w:eastAsia="en-US"/>
        </w:rPr>
        <w:t>Algharabat</w:t>
      </w:r>
      <w:proofErr w:type="spellEnd"/>
      <w:r w:rsidRPr="006E5FEA">
        <w:rPr>
          <w:rFonts w:eastAsia="Times New Roman"/>
          <w:sz w:val="20"/>
          <w:szCs w:val="20"/>
          <w:lang w:val="en-GB" w:eastAsia="en-US"/>
        </w:rPr>
        <w:t xml:space="preserve"> </w:t>
      </w:r>
      <w:r w:rsidRPr="006E5FEA">
        <w:rPr>
          <w:rFonts w:eastAsia="Times New Roman"/>
          <w:i/>
          <w:iCs/>
          <w:sz w:val="20"/>
          <w:szCs w:val="20"/>
          <w:lang w:val="en-GB" w:eastAsia="en-US"/>
        </w:rPr>
        <w:t>et al</w:t>
      </w:r>
      <w:r w:rsidRPr="006E5FEA">
        <w:rPr>
          <w:rFonts w:eastAsia="Times New Roman"/>
          <w:sz w:val="20"/>
          <w:szCs w:val="20"/>
          <w:lang w:val="en-GB" w:eastAsia="en-US"/>
        </w:rPr>
        <w:t xml:space="preserve">., 2020; Wolter </w:t>
      </w:r>
      <w:r w:rsidRPr="006E5FEA">
        <w:rPr>
          <w:rFonts w:eastAsia="Times New Roman"/>
          <w:i/>
          <w:iCs/>
          <w:sz w:val="20"/>
          <w:szCs w:val="20"/>
          <w:lang w:val="en-GB" w:eastAsia="en-US"/>
        </w:rPr>
        <w:t>et al</w:t>
      </w:r>
      <w:r w:rsidRPr="006E5FEA">
        <w:rPr>
          <w:rFonts w:eastAsia="Times New Roman"/>
          <w:sz w:val="20"/>
          <w:szCs w:val="20"/>
          <w:lang w:val="en-GB" w:eastAsia="en-US"/>
        </w:rPr>
        <w:t xml:space="preserve">., 2022; </w:t>
      </w:r>
      <w:proofErr w:type="spellStart"/>
      <w:r w:rsidRPr="006E5FEA">
        <w:rPr>
          <w:rFonts w:eastAsia="Times New Roman"/>
          <w:sz w:val="20"/>
          <w:szCs w:val="20"/>
          <w:lang w:val="en-GB" w:eastAsia="en-US"/>
        </w:rPr>
        <w:t>Heinonen</w:t>
      </w:r>
      <w:proofErr w:type="spellEnd"/>
      <w:r w:rsidRPr="006E5FEA">
        <w:rPr>
          <w:rFonts w:eastAsia="Times New Roman"/>
          <w:sz w:val="20"/>
          <w:szCs w:val="20"/>
          <w:lang w:val="en-GB" w:eastAsia="en-US"/>
        </w:rPr>
        <w:t xml:space="preserve">, 2017; </w:t>
      </w:r>
      <w:proofErr w:type="spellStart"/>
      <w:r w:rsidRPr="006E5FEA">
        <w:rPr>
          <w:rFonts w:eastAsia="Times New Roman"/>
          <w:sz w:val="20"/>
          <w:szCs w:val="20"/>
          <w:lang w:val="en-GB" w:eastAsia="en-US"/>
        </w:rPr>
        <w:t>Hollebeek</w:t>
      </w:r>
      <w:proofErr w:type="spellEnd"/>
      <w:r w:rsidRPr="006E5FEA">
        <w:rPr>
          <w:rFonts w:eastAsia="Times New Roman"/>
          <w:sz w:val="20"/>
          <w:szCs w:val="20"/>
          <w:lang w:val="en-GB" w:eastAsia="en-US"/>
        </w:rPr>
        <w:t xml:space="preserve"> &amp; Chen, 2014; </w:t>
      </w:r>
      <w:proofErr w:type="spellStart"/>
      <w:r w:rsidRPr="006E5FEA">
        <w:rPr>
          <w:rFonts w:eastAsia="Times New Roman"/>
          <w:sz w:val="20"/>
          <w:szCs w:val="20"/>
          <w:lang w:val="en-GB" w:eastAsia="en-US"/>
        </w:rPr>
        <w:t>Obeidat</w:t>
      </w:r>
      <w:proofErr w:type="spellEnd"/>
      <w:r w:rsidRPr="006E5FEA">
        <w:rPr>
          <w:rFonts w:eastAsia="Times New Roman"/>
          <w:sz w:val="20"/>
          <w:szCs w:val="20"/>
          <w:lang w:val="en-GB" w:eastAsia="en-US"/>
        </w:rPr>
        <w:t xml:space="preserve"> </w:t>
      </w:r>
      <w:r w:rsidRPr="006E5FEA">
        <w:rPr>
          <w:rFonts w:eastAsia="Times New Roman"/>
          <w:i/>
          <w:iCs/>
          <w:sz w:val="20"/>
          <w:szCs w:val="20"/>
          <w:lang w:val="en-GB" w:eastAsia="en-US"/>
        </w:rPr>
        <w:t>et al</w:t>
      </w:r>
      <w:r w:rsidRPr="006E5FEA">
        <w:rPr>
          <w:rFonts w:eastAsia="Times New Roman"/>
          <w:sz w:val="20"/>
          <w:szCs w:val="20"/>
          <w:lang w:val="en-GB" w:eastAsia="en-US"/>
        </w:rPr>
        <w:t xml:space="preserve">., 2020) have examined positive valence antecedents (including social, relational, hedonic and cognitive) of consumer engagement and participation. However, few studies have focused on the dark side of social media marketing (Dwivedi </w:t>
      </w:r>
      <w:r w:rsidRPr="006E5FEA">
        <w:rPr>
          <w:rFonts w:eastAsia="Times New Roman"/>
          <w:i/>
          <w:iCs/>
          <w:sz w:val="20"/>
          <w:szCs w:val="20"/>
          <w:lang w:val="en-GB" w:eastAsia="en-US"/>
        </w:rPr>
        <w:t>et al</w:t>
      </w:r>
      <w:r w:rsidRPr="006E5FEA">
        <w:rPr>
          <w:rFonts w:eastAsia="Times New Roman"/>
          <w:sz w:val="20"/>
          <w:szCs w:val="20"/>
          <w:lang w:val="en-GB" w:eastAsia="en-US"/>
        </w:rPr>
        <w:t xml:space="preserve">., 2021), and whether consumer incivility influences consumer engagement and participation is unknown (Wolter </w:t>
      </w:r>
      <w:r w:rsidRPr="006E5FEA">
        <w:rPr>
          <w:rFonts w:eastAsia="Times New Roman"/>
          <w:i/>
          <w:iCs/>
          <w:sz w:val="20"/>
          <w:szCs w:val="20"/>
          <w:lang w:val="en-GB" w:eastAsia="en-US"/>
        </w:rPr>
        <w:t>et al</w:t>
      </w:r>
      <w:r w:rsidRPr="006E5FEA">
        <w:rPr>
          <w:rFonts w:eastAsia="Times New Roman"/>
          <w:sz w:val="20"/>
          <w:szCs w:val="20"/>
          <w:lang w:val="en-GB" w:eastAsia="en-US"/>
        </w:rPr>
        <w:t>., 2022). Because of uncivil consumer responses on social media forums, the question remains: How does customer incivility (i.e. reading aggressive or uncivil comments on social media platforms) affect social media brand trust and social media brand community participation?</w:t>
      </w:r>
    </w:p>
    <w:p w14:paraId="445B8DA6"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w:t>
      </w:r>
    </w:p>
    <w:p w14:paraId="0755F339"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xml:space="preserve">We used the stimulus-organism-response (S-O-R) model to understand consumer incivility by framing stimuli (S) that affect an organism’s internal state (O), causing the organism to respond to the environment (R) on a social media platform. Therefore, the present study mainly focused on consumer incivility in the social media setting, which disrupts the service experiences of consumers who have witnessed the uncivil acts. </w:t>
      </w:r>
      <w:proofErr w:type="spellStart"/>
      <w:r w:rsidRPr="006E5FEA">
        <w:rPr>
          <w:rFonts w:eastAsia="Times New Roman"/>
          <w:sz w:val="20"/>
          <w:szCs w:val="20"/>
          <w:lang w:val="en-GB" w:eastAsia="en-US"/>
        </w:rPr>
        <w:t>Obeidat</w:t>
      </w:r>
      <w:proofErr w:type="spellEnd"/>
      <w:r w:rsidRPr="006E5FEA">
        <w:rPr>
          <w:rFonts w:eastAsia="Times New Roman"/>
          <w:sz w:val="20"/>
          <w:szCs w:val="20"/>
          <w:lang w:val="en-GB" w:eastAsia="en-US"/>
        </w:rPr>
        <w:t xml:space="preserve"> </w:t>
      </w:r>
      <w:r w:rsidRPr="006E5FEA">
        <w:rPr>
          <w:rFonts w:eastAsia="Times New Roman"/>
          <w:i/>
          <w:iCs/>
          <w:sz w:val="20"/>
          <w:szCs w:val="20"/>
          <w:lang w:val="en-GB" w:eastAsia="en-US"/>
        </w:rPr>
        <w:t>et al</w:t>
      </w:r>
      <w:r w:rsidRPr="006E5FEA">
        <w:rPr>
          <w:rFonts w:eastAsia="Times New Roman"/>
          <w:sz w:val="20"/>
          <w:szCs w:val="20"/>
          <w:lang w:val="en-GB" w:eastAsia="en-US"/>
        </w:rPr>
        <w:t>. (2018) conducted a study on such behaviours (e.g. extended consumer complaining, vindictive word of mouth). Therefore, we investigated the inverse impacts of consumer incivility on social media brand representatives’ efforts to deal with it, social media</w:t>
      </w:r>
      <w:bookmarkStart w:id="0" w:name="_Hlk112153613"/>
      <w:r w:rsidRPr="006E5FEA">
        <w:rPr>
          <w:rFonts w:eastAsia="Times New Roman"/>
          <w:sz w:val="20"/>
          <w:szCs w:val="20"/>
          <w:lang w:val="en-GB" w:eastAsia="en-US"/>
        </w:rPr>
        <w:t xml:space="preserve"> </w:t>
      </w:r>
      <w:bookmarkEnd w:id="0"/>
      <w:r w:rsidRPr="006E5FEA">
        <w:rPr>
          <w:rFonts w:eastAsia="Times New Roman"/>
          <w:sz w:val="20"/>
          <w:szCs w:val="20"/>
          <w:lang w:val="en-GB" w:eastAsia="en-US"/>
        </w:rPr>
        <w:t>brand community participation and social media brand trust. Thus, the study sought answers to the following research questions:</w:t>
      </w:r>
    </w:p>
    <w:p w14:paraId="076083FD"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w:t>
      </w:r>
    </w:p>
    <w:p w14:paraId="1CB42FD1"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RQ1: Does consumer incivility inversely influence social media brand community participation, social media brand representatives’ efforts to deal with consumer incivility and social media brand trust?</w:t>
      </w:r>
    </w:p>
    <w:p w14:paraId="479B3387"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lastRenderedPageBreak/>
        <w:t>RQ.2 How do social media brand representatives’ efforts to deal with consumer incivility affect social media brand community participation in social media platforms?</w:t>
      </w:r>
    </w:p>
    <w:p w14:paraId="28148A47"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w:t>
      </w:r>
    </w:p>
    <w:p w14:paraId="37097D2A"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xml:space="preserve">This study has two main contributions. Firstly, it provided new theoretical insights about the backgrounds and levels of trust of the members of social media brand communities in the social media brands. This was the first study to empirically scrutinise the impacts of consumer incivility on social media brand community participation, social media representatives’ efforts to deal with consumer incivility and social media brand trust (e.g. Facebook, Twitter, Instagram). Secondly, by exploring uncivil consumer behaviours that affect social media brand trust, we were able to propose ways to convey more targeted messages to social media leaders, web designers and members of social media brand communities to encourage them to participate on social media platforms in a variety of social contexts. </w:t>
      </w:r>
    </w:p>
    <w:p w14:paraId="02139704" w14:textId="77777777" w:rsidR="006E5FEA" w:rsidRPr="006E5FEA" w:rsidRDefault="006E5FEA" w:rsidP="003647F0">
      <w:pPr>
        <w:pBdr>
          <w:top w:val="nil"/>
          <w:left w:val="nil"/>
          <w:bottom w:val="nil"/>
          <w:right w:val="nil"/>
          <w:between w:val="nil"/>
        </w:pBdr>
        <w:spacing w:after="0"/>
        <w:jc w:val="both"/>
        <w:rPr>
          <w:rFonts w:eastAsia="Times New Roman"/>
          <w:sz w:val="20"/>
          <w:szCs w:val="20"/>
          <w:lang w:val="en-GB" w:eastAsia="en-US"/>
        </w:rPr>
      </w:pPr>
    </w:p>
    <w:p w14:paraId="427D7AD8" w14:textId="7A55B97D" w:rsidR="00B255D6" w:rsidRPr="00AF43B0" w:rsidRDefault="006E5FEA" w:rsidP="003647F0">
      <w:pPr>
        <w:pBdr>
          <w:top w:val="nil"/>
          <w:left w:val="nil"/>
          <w:bottom w:val="nil"/>
          <w:right w:val="nil"/>
          <w:between w:val="nil"/>
        </w:pBdr>
        <w:spacing w:after="0"/>
        <w:jc w:val="both"/>
        <w:rPr>
          <w:rFonts w:eastAsia="Times New Roman"/>
          <w:sz w:val="20"/>
          <w:szCs w:val="20"/>
          <w:lang w:val="en-GB" w:eastAsia="en-US"/>
        </w:rPr>
      </w:pPr>
      <w:r w:rsidRPr="006E5FEA">
        <w:rPr>
          <w:rFonts w:eastAsia="Times New Roman"/>
          <w:sz w:val="20"/>
          <w:szCs w:val="20"/>
          <w:lang w:val="en-GB" w:eastAsia="en-US"/>
        </w:rPr>
        <w:t xml:space="preserve">The rest of this article proceeds as follows. The </w:t>
      </w:r>
      <w:bookmarkStart w:id="1" w:name="_Hlk111556408"/>
      <w:r w:rsidRPr="006E5FEA">
        <w:rPr>
          <w:rFonts w:eastAsia="Times New Roman"/>
          <w:sz w:val="20"/>
          <w:szCs w:val="20"/>
          <w:lang w:val="en-GB" w:eastAsia="en-US"/>
        </w:rPr>
        <w:t>relevant literature is reviewed</w:t>
      </w:r>
      <w:bookmarkEnd w:id="1"/>
      <w:r w:rsidRPr="006E5FEA">
        <w:rPr>
          <w:rFonts w:eastAsia="Times New Roman"/>
          <w:sz w:val="20"/>
          <w:szCs w:val="20"/>
          <w:lang w:val="en-GB" w:eastAsia="en-US"/>
        </w:rPr>
        <w:t>, and the research model that was used, the hypothesis development and the research methods are discussed. Finally, the study results, their implications for theory and practice, the study limitations and directions for future research are presented.</w:t>
      </w:r>
      <w:r>
        <w:rPr>
          <w:rFonts w:eastAsia="Times New Roman"/>
          <w:sz w:val="20"/>
          <w:szCs w:val="20"/>
          <w:lang w:val="en-GB" w:eastAsia="en-US"/>
        </w:rPr>
        <w:t xml:space="preserve"> </w:t>
      </w:r>
      <w:r w:rsidR="005C7209">
        <w:rPr>
          <w:rFonts w:eastAsia="Times New Roman"/>
          <w:sz w:val="20"/>
          <w:szCs w:val="20"/>
          <w:lang w:eastAsia="en-US"/>
        </w:rPr>
        <w:t xml:space="preserve"> </w:t>
      </w:r>
    </w:p>
    <w:p w14:paraId="62DE7F5E" w14:textId="77777777" w:rsidR="00B255D6" w:rsidRPr="004A2FA1" w:rsidRDefault="00B255D6" w:rsidP="003647F0">
      <w:pPr>
        <w:pBdr>
          <w:top w:val="nil"/>
          <w:left w:val="nil"/>
          <w:bottom w:val="nil"/>
          <w:right w:val="nil"/>
          <w:between w:val="nil"/>
        </w:pBdr>
        <w:spacing w:after="0" w:line="240" w:lineRule="auto"/>
        <w:jc w:val="both"/>
        <w:rPr>
          <w:b/>
          <w:sz w:val="20"/>
          <w:szCs w:val="20"/>
        </w:rPr>
      </w:pPr>
    </w:p>
    <w:p w14:paraId="0CC91D42" w14:textId="3442FD18" w:rsidR="00B255D6" w:rsidRPr="00C63FA9" w:rsidRDefault="00065BF1" w:rsidP="003647F0">
      <w:pPr>
        <w:pStyle w:val="NoSpacing"/>
        <w:jc w:val="center"/>
        <w:rPr>
          <w:b/>
          <w:bCs/>
          <w:sz w:val="20"/>
          <w:szCs w:val="20"/>
        </w:rPr>
      </w:pPr>
      <w:bookmarkStart w:id="2" w:name="_Hlk111550600"/>
      <w:r w:rsidRPr="00065BF1">
        <w:rPr>
          <w:b/>
          <w:bCs/>
          <w:sz w:val="20"/>
          <w:szCs w:val="20"/>
        </w:rPr>
        <w:t>LITERATURE REVIEW</w:t>
      </w:r>
    </w:p>
    <w:bookmarkEnd w:id="2"/>
    <w:p w14:paraId="5771EB44" w14:textId="77777777" w:rsidR="006F0C9C" w:rsidRDefault="006F0C9C" w:rsidP="003647F0">
      <w:pPr>
        <w:pBdr>
          <w:top w:val="nil"/>
          <w:left w:val="nil"/>
          <w:bottom w:val="nil"/>
          <w:right w:val="nil"/>
          <w:between w:val="nil"/>
        </w:pBdr>
        <w:spacing w:after="0" w:line="240" w:lineRule="auto"/>
        <w:jc w:val="both"/>
        <w:rPr>
          <w:rFonts w:eastAsia="Times New Roman"/>
          <w:b/>
          <w:sz w:val="20"/>
          <w:szCs w:val="20"/>
          <w:lang w:eastAsia="en-US"/>
        </w:rPr>
      </w:pPr>
    </w:p>
    <w:p w14:paraId="4744CF58" w14:textId="77777777" w:rsidR="006E5FEA" w:rsidRPr="006E5FEA" w:rsidRDefault="006E5FEA" w:rsidP="006E5FEA">
      <w:pPr>
        <w:spacing w:after="0" w:line="240" w:lineRule="auto"/>
        <w:jc w:val="both"/>
        <w:rPr>
          <w:rFonts w:eastAsia="Times New Roman"/>
          <w:b/>
          <w:bCs/>
          <w:color w:val="222222"/>
          <w:sz w:val="20"/>
          <w:szCs w:val="20"/>
          <w:lang w:val="en-GB" w:eastAsia="fi-FI"/>
        </w:rPr>
      </w:pPr>
      <w:r w:rsidRPr="006E5FEA">
        <w:rPr>
          <w:rFonts w:eastAsia="Times New Roman"/>
          <w:b/>
          <w:bCs/>
          <w:color w:val="222222"/>
          <w:sz w:val="20"/>
          <w:szCs w:val="20"/>
          <w:lang w:val="en-GB" w:eastAsia="fi-FI"/>
        </w:rPr>
        <w:t>Stimulus-Organism-Response Theory</w:t>
      </w:r>
    </w:p>
    <w:p w14:paraId="4FAD90D4" w14:textId="35D35037" w:rsidR="00AF43B0" w:rsidRPr="006E5FEA" w:rsidRDefault="006E5FEA" w:rsidP="006E5FEA">
      <w:pPr>
        <w:spacing w:after="0" w:line="240" w:lineRule="auto"/>
        <w:jc w:val="both"/>
        <w:rPr>
          <w:rFonts w:eastAsia="Times New Roman"/>
          <w:color w:val="222222"/>
          <w:szCs w:val="24"/>
          <w:lang w:val="en-GB" w:eastAsia="fi-FI"/>
        </w:rPr>
      </w:pPr>
      <w:r w:rsidRPr="006E5FEA">
        <w:rPr>
          <w:rFonts w:eastAsia="Times New Roman"/>
          <w:color w:val="222222"/>
          <w:sz w:val="20"/>
          <w:szCs w:val="20"/>
          <w:lang w:val="en-GB" w:eastAsia="fi-FI"/>
        </w:rPr>
        <w:t>We used the S-O-R theory in the present study, which helps in understanding consumer behaviour (Mehrabian &amp; Russell, 1974) through the following holistic elements: stimulus, organism and response.</w:t>
      </w:r>
      <w:r w:rsidRPr="006E5FEA" w:rsidDel="00A53F8C">
        <w:rPr>
          <w:rFonts w:eastAsia="Times New Roman"/>
          <w:color w:val="222222"/>
          <w:sz w:val="20"/>
          <w:szCs w:val="20"/>
          <w:lang w:val="en-GB" w:eastAsia="fi-FI"/>
        </w:rPr>
        <w:t xml:space="preserve"> </w:t>
      </w:r>
      <w:r w:rsidRPr="006E5FEA">
        <w:rPr>
          <w:rFonts w:eastAsia="Times New Roman"/>
          <w:color w:val="222222"/>
          <w:sz w:val="20"/>
          <w:szCs w:val="20"/>
          <w:lang w:val="en-GB" w:eastAsia="fi-FI"/>
        </w:rPr>
        <w:t xml:space="preserve">We investigated how stimuli (S) affect an organism’s internal state (O), causing the organism to respond to the environment (R) on a social media platform. Tombs and McColl-Kennedy (2003) stated that stimuli in an environment help motivate individuals for frontline encounters and consist of ‘contextual, physical and social elements’ (p. 448). Singh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(2017) define encounters as ‘the interactions and interfaces at the point of contact between an organization and its consumers that promote, facilitate or enable value creation and exchange’ (p. 4). Social media environments are the events/episodes where positive or negative social media encounters occur within individual versus group settings. Organism (e.g. social media brand community participation) refers to transitional and progressive states of an individual’s emotional and cognitive bonds associated with the stimulus and the response. Finally, social media brand trust is the response and thus the outcome or action of a social media participant.</w:t>
      </w:r>
      <w:r w:rsidR="00476576" w:rsidRPr="006E5FEA">
        <w:rPr>
          <w:rFonts w:eastAsia="Times New Roman"/>
          <w:color w:val="222222"/>
          <w:sz w:val="20"/>
          <w:szCs w:val="20"/>
          <w:lang w:eastAsia="fi-FI"/>
        </w:rPr>
        <w:t xml:space="preserve"> </w:t>
      </w:r>
      <w:r w:rsidR="00633554" w:rsidRPr="006E5FEA">
        <w:rPr>
          <w:rFonts w:eastAsia="Times New Roman"/>
          <w:color w:val="222222"/>
          <w:sz w:val="20"/>
          <w:szCs w:val="20"/>
          <w:lang w:eastAsia="fi-FI"/>
        </w:rPr>
        <w:t xml:space="preserve"> </w:t>
      </w:r>
    </w:p>
    <w:p w14:paraId="1A2C33C0" w14:textId="2CCA022D" w:rsidR="00F060E2" w:rsidRDefault="00F060E2" w:rsidP="00354F39">
      <w:pPr>
        <w:pBdr>
          <w:top w:val="nil"/>
          <w:left w:val="nil"/>
          <w:bottom w:val="nil"/>
          <w:right w:val="nil"/>
          <w:between w:val="nil"/>
        </w:pBdr>
        <w:spacing w:after="0" w:line="240" w:lineRule="auto"/>
        <w:jc w:val="both"/>
        <w:rPr>
          <w:rFonts w:eastAsia="Times New Roman"/>
          <w:bCs/>
          <w:sz w:val="20"/>
          <w:szCs w:val="20"/>
          <w:lang w:eastAsia="en-US"/>
        </w:rPr>
      </w:pPr>
    </w:p>
    <w:p w14:paraId="7FF5A328" w14:textId="778B15D1" w:rsidR="00B255D6" w:rsidRPr="00BB5B72" w:rsidRDefault="00B255D6" w:rsidP="00BB5B72">
      <w:pPr>
        <w:pStyle w:val="NoSpacing"/>
        <w:jc w:val="center"/>
        <w:rPr>
          <w:b/>
          <w:bCs/>
          <w:sz w:val="20"/>
          <w:szCs w:val="20"/>
        </w:rPr>
      </w:pPr>
      <w:r w:rsidRPr="00BB5B72">
        <w:rPr>
          <w:b/>
          <w:bCs/>
          <w:sz w:val="20"/>
          <w:szCs w:val="20"/>
        </w:rPr>
        <w:t>RESEARCH MODEL AND HYPOTHESES</w:t>
      </w:r>
      <w:r w:rsidR="00D85150" w:rsidRPr="00BB5B72">
        <w:rPr>
          <w:b/>
          <w:bCs/>
          <w:sz w:val="20"/>
          <w:szCs w:val="20"/>
        </w:rPr>
        <w:t xml:space="preserve"> DEVELOPMENT</w:t>
      </w:r>
    </w:p>
    <w:p w14:paraId="0D813F07" w14:textId="3E2A7A09" w:rsidR="00B255D6" w:rsidRPr="004A2FA1" w:rsidRDefault="006E5FEA" w:rsidP="00D85150">
      <w:pPr>
        <w:pBdr>
          <w:top w:val="nil"/>
          <w:left w:val="nil"/>
          <w:bottom w:val="nil"/>
          <w:right w:val="nil"/>
          <w:between w:val="nil"/>
        </w:pBdr>
        <w:spacing w:after="0" w:line="240" w:lineRule="auto"/>
        <w:jc w:val="both"/>
        <w:rPr>
          <w:sz w:val="20"/>
          <w:szCs w:val="20"/>
        </w:rPr>
      </w:pPr>
      <w:r w:rsidRPr="006E5FEA">
        <w:rPr>
          <w:color w:val="222222"/>
          <w:sz w:val="20"/>
          <w:szCs w:val="20"/>
          <w:shd w:val="clear" w:color="auto" w:fill="FFFFFF"/>
          <w:lang w:val="en-GB"/>
        </w:rPr>
        <w:t>The research model shown in Figure 1 shows how consumer incivility may affect social media brand representatives’ efforts to deal with it, social media brand community participation and social media brand trust. Previous studies on the social aspects of environmental cues in an offline setting have examined consumer-to-consumer and consumer-to-employee interactions. To the best of our knowledge, the research model contributes to the literature exploring how consumers’ uncivil behaviours can act as triggers (stimuli) of social media brand community participation (organism) and social media brand trust (response). Thus, we propose the following research model:</w:t>
      </w:r>
      <w:r>
        <w:rPr>
          <w:color w:val="222222"/>
          <w:sz w:val="20"/>
          <w:szCs w:val="20"/>
          <w:shd w:val="clear" w:color="auto" w:fill="FFFFFF"/>
          <w:lang w:val="en-GB"/>
        </w:rPr>
        <w:t xml:space="preserve"> </w:t>
      </w:r>
    </w:p>
    <w:p w14:paraId="325BAF02" w14:textId="1636C7D4" w:rsidR="00B255D6" w:rsidRDefault="00B255D6" w:rsidP="00B255D6">
      <w:pPr>
        <w:pBdr>
          <w:top w:val="nil"/>
          <w:left w:val="nil"/>
          <w:bottom w:val="nil"/>
          <w:right w:val="nil"/>
          <w:between w:val="nil"/>
        </w:pBdr>
        <w:spacing w:after="0" w:line="240" w:lineRule="auto"/>
        <w:jc w:val="both"/>
        <w:rPr>
          <w:sz w:val="20"/>
          <w:szCs w:val="20"/>
        </w:rPr>
      </w:pPr>
    </w:p>
    <w:p w14:paraId="469BC554" w14:textId="6D348886" w:rsidR="00835BF0" w:rsidRPr="00835BF0" w:rsidRDefault="00835BF0" w:rsidP="00835BF0">
      <w:pPr>
        <w:spacing w:after="0" w:line="240" w:lineRule="auto"/>
        <w:jc w:val="center"/>
        <w:rPr>
          <w:rFonts w:eastAsia="Times New Roman"/>
          <w:szCs w:val="24"/>
          <w:lang w:val="fi-FI" w:eastAsia="fi-FI"/>
        </w:rPr>
      </w:pPr>
      <w:r w:rsidRPr="00835BF0">
        <w:rPr>
          <w:rFonts w:eastAsia="Times New Roman"/>
          <w:noProof/>
          <w:szCs w:val="24"/>
          <w:lang w:val="fi-FI" w:eastAsia="fi-FI"/>
        </w:rPr>
        <w:drawing>
          <wp:inline distT="0" distB="0" distL="0" distR="0" wp14:anchorId="611D92F6" wp14:editId="6D375A94">
            <wp:extent cx="4419553" cy="3154101"/>
            <wp:effectExtent l="0" t="0" r="63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5271" cy="3193866"/>
                    </a:xfrm>
                    <a:prstGeom prst="rect">
                      <a:avLst/>
                    </a:prstGeom>
                    <a:noFill/>
                    <a:ln>
                      <a:noFill/>
                    </a:ln>
                  </pic:spPr>
                </pic:pic>
              </a:graphicData>
            </a:graphic>
          </wp:inline>
        </w:drawing>
      </w:r>
    </w:p>
    <w:p w14:paraId="0A06E56D" w14:textId="1A632B8B" w:rsidR="00213D3D" w:rsidRPr="00A25872" w:rsidRDefault="00213D3D" w:rsidP="00997245">
      <w:pPr>
        <w:pBdr>
          <w:top w:val="nil"/>
          <w:left w:val="nil"/>
          <w:bottom w:val="nil"/>
          <w:right w:val="nil"/>
          <w:between w:val="nil"/>
        </w:pBdr>
        <w:spacing w:after="0" w:line="240" w:lineRule="auto"/>
        <w:jc w:val="center"/>
        <w:rPr>
          <w:rFonts w:eastAsia="Times New Roman"/>
          <w:bCs/>
          <w:sz w:val="20"/>
          <w:szCs w:val="20"/>
          <w:lang w:eastAsia="en-US"/>
        </w:rPr>
      </w:pPr>
      <w:r w:rsidRPr="00A25872">
        <w:rPr>
          <w:rFonts w:eastAsia="Times New Roman"/>
          <w:bCs/>
          <w:sz w:val="20"/>
          <w:szCs w:val="20"/>
          <w:lang w:eastAsia="en-US"/>
        </w:rPr>
        <w:t>Figure 1: Research Model</w:t>
      </w:r>
    </w:p>
    <w:p w14:paraId="698A2146" w14:textId="77777777" w:rsidR="00F42F02" w:rsidRPr="00997245" w:rsidRDefault="00F42F02" w:rsidP="00E51BAF">
      <w:pPr>
        <w:pBdr>
          <w:top w:val="nil"/>
          <w:left w:val="nil"/>
          <w:bottom w:val="nil"/>
          <w:right w:val="nil"/>
          <w:between w:val="nil"/>
        </w:pBdr>
        <w:spacing w:after="0" w:line="240" w:lineRule="auto"/>
        <w:rPr>
          <w:rFonts w:eastAsia="Times New Roman"/>
          <w:bCs/>
          <w:sz w:val="20"/>
          <w:szCs w:val="20"/>
          <w:lang w:eastAsia="en-US"/>
        </w:rPr>
      </w:pPr>
    </w:p>
    <w:p w14:paraId="2E3FE333" w14:textId="44106C8A" w:rsidR="00D1693E" w:rsidRPr="00D1693E" w:rsidRDefault="00E00A5E" w:rsidP="00D1693E">
      <w:pPr>
        <w:spacing w:after="0" w:line="240" w:lineRule="auto"/>
        <w:jc w:val="both"/>
        <w:rPr>
          <w:rFonts w:eastAsia="Times New Roman"/>
          <w:color w:val="222222"/>
          <w:szCs w:val="24"/>
          <w:lang w:val="en-GB" w:eastAsia="fi-FI"/>
        </w:rPr>
      </w:pPr>
      <w:bookmarkStart w:id="3" w:name="_Hlk108011791"/>
      <w:r>
        <w:rPr>
          <w:rFonts w:eastAsia="Times New Roman"/>
          <w:b/>
          <w:bCs/>
          <w:color w:val="222222"/>
          <w:sz w:val="20"/>
          <w:szCs w:val="20"/>
          <w:lang w:eastAsia="fi-FI"/>
        </w:rPr>
        <w:t>Consumer incivility</w:t>
      </w:r>
      <w:r w:rsidR="00D1693E" w:rsidRPr="00D1693E">
        <w:rPr>
          <w:rFonts w:eastAsia="Times New Roman"/>
          <w:b/>
          <w:bCs/>
          <w:color w:val="222222"/>
          <w:sz w:val="20"/>
          <w:szCs w:val="20"/>
          <w:lang w:eastAsia="fi-FI"/>
        </w:rPr>
        <w:t xml:space="preserve"> and </w:t>
      </w:r>
      <w:r w:rsidR="00CE3D5B">
        <w:rPr>
          <w:rFonts w:eastAsia="Times New Roman"/>
          <w:b/>
          <w:bCs/>
          <w:color w:val="222222"/>
          <w:sz w:val="20"/>
          <w:szCs w:val="20"/>
          <w:lang w:eastAsia="fi-FI"/>
        </w:rPr>
        <w:t>Social-media brand community participation</w:t>
      </w:r>
    </w:p>
    <w:p w14:paraId="3894EAA4" w14:textId="77777777" w:rsidR="006E5FEA" w:rsidRPr="006E5FEA" w:rsidRDefault="006E5FEA" w:rsidP="006E5FEA">
      <w:pP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lastRenderedPageBreak/>
        <w:t xml:space="preserve">Consumer incivility in information system sciences shows that consumers’ uncivil acts violate the sociocultural norms in social media (Maher, 2016). Thus, the notion pertains to consumers who are members of a social media brand community expressing hate and hostility (Wolter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xml:space="preserve">., 2022; Moor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2010). Such uncivil acts can reduce social media brand community participation that may increase community members’ mental distress, social isolation, hostility, frustration and anger (</w:t>
      </w:r>
      <w:proofErr w:type="spellStart"/>
      <w:r w:rsidRPr="006E5FEA">
        <w:rPr>
          <w:rFonts w:eastAsia="Times New Roman"/>
          <w:color w:val="222222"/>
          <w:sz w:val="20"/>
          <w:szCs w:val="20"/>
          <w:lang w:val="en-GB" w:eastAsia="fi-FI"/>
        </w:rPr>
        <w:t>Ransbotham</w:t>
      </w:r>
      <w:proofErr w:type="spellEnd"/>
      <w:r w:rsidRPr="006E5FEA">
        <w:rPr>
          <w:rFonts w:eastAsia="Times New Roman"/>
          <w:color w:val="222222"/>
          <w:sz w:val="20"/>
          <w:szCs w:val="20"/>
          <w:lang w:val="en-GB" w:eastAsia="fi-FI"/>
        </w:rPr>
        <w:t xml:space="preserve">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xml:space="preserve">., 2016), and at an extreme level, may result in suicide, which has been reported in high school (Bauman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2013). Consequently, we conclude from the literature that uncivil consumer acts are negatively related to consumer brand community participation. Thus, we propose the following hypothesis:</w:t>
      </w:r>
    </w:p>
    <w:p w14:paraId="43FA70D7" w14:textId="77777777" w:rsidR="006E5FEA" w:rsidRPr="006E5FEA" w:rsidRDefault="006E5FEA" w:rsidP="006E5FEA">
      <w:pP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t> </w:t>
      </w:r>
    </w:p>
    <w:p w14:paraId="7E7CB989" w14:textId="4C1E924D" w:rsidR="00D1693E" w:rsidRPr="00D1693E" w:rsidRDefault="006E5FEA" w:rsidP="006E5FEA">
      <w:pPr>
        <w:spacing w:after="0" w:line="240" w:lineRule="auto"/>
        <w:jc w:val="both"/>
        <w:rPr>
          <w:rFonts w:eastAsia="Times New Roman"/>
          <w:color w:val="222222"/>
          <w:szCs w:val="24"/>
          <w:lang w:val="en-GB" w:eastAsia="fi-FI"/>
        </w:rPr>
      </w:pPr>
      <w:bookmarkStart w:id="4" w:name="_Hlk108011783"/>
      <w:r w:rsidRPr="006E5FEA">
        <w:rPr>
          <w:rFonts w:eastAsia="Times New Roman"/>
          <w:color w:val="222222"/>
          <w:sz w:val="20"/>
          <w:szCs w:val="20"/>
          <w:lang w:val="en-GB" w:eastAsia="fi-FI"/>
        </w:rPr>
        <w:t>H1:</w:t>
      </w:r>
      <w:bookmarkEnd w:id="4"/>
      <w:r w:rsidRPr="006E5FEA">
        <w:rPr>
          <w:rFonts w:eastAsia="Times New Roman"/>
          <w:color w:val="222222"/>
          <w:sz w:val="20"/>
          <w:szCs w:val="20"/>
          <w:lang w:val="en-GB" w:eastAsia="fi-FI"/>
        </w:rPr>
        <w:t> Consumer incivility inversely influences consumer participation in social media platforms.</w:t>
      </w:r>
      <w:r>
        <w:rPr>
          <w:rFonts w:eastAsia="Times New Roman"/>
          <w:color w:val="222222"/>
          <w:sz w:val="20"/>
          <w:szCs w:val="20"/>
          <w:lang w:val="en-GB" w:eastAsia="fi-FI"/>
        </w:rPr>
        <w:t xml:space="preserve"> </w:t>
      </w:r>
    </w:p>
    <w:p w14:paraId="11E6B3AF" w14:textId="77777777" w:rsidR="00D1693E" w:rsidRPr="00D1693E" w:rsidRDefault="00D1693E" w:rsidP="00D1693E">
      <w:pPr>
        <w:spacing w:after="0" w:line="240" w:lineRule="auto"/>
        <w:jc w:val="both"/>
        <w:rPr>
          <w:rFonts w:eastAsia="Times New Roman"/>
          <w:color w:val="222222"/>
          <w:szCs w:val="24"/>
          <w:lang w:val="en-GB" w:eastAsia="fi-FI"/>
        </w:rPr>
      </w:pPr>
      <w:r w:rsidRPr="00D1693E">
        <w:rPr>
          <w:rFonts w:eastAsia="Times New Roman"/>
          <w:color w:val="222222"/>
          <w:sz w:val="20"/>
          <w:szCs w:val="20"/>
          <w:lang w:eastAsia="fi-FI"/>
        </w:rPr>
        <w:t> </w:t>
      </w:r>
    </w:p>
    <w:bookmarkEnd w:id="3"/>
    <w:p w14:paraId="2737ED5E" w14:textId="6B8FABDF" w:rsidR="006E5FEA" w:rsidRPr="006E5FEA" w:rsidRDefault="006E5FEA" w:rsidP="006E5FEA">
      <w:pPr>
        <w:pBdr>
          <w:top w:val="nil"/>
          <w:left w:val="nil"/>
          <w:bottom w:val="nil"/>
          <w:right w:val="nil"/>
          <w:between w:val="nil"/>
        </w:pBdr>
        <w:spacing w:after="0" w:line="240" w:lineRule="auto"/>
        <w:jc w:val="both"/>
        <w:rPr>
          <w:rFonts w:eastAsia="Times New Roman"/>
          <w:b/>
          <w:bCs/>
          <w:color w:val="222222"/>
          <w:sz w:val="20"/>
          <w:szCs w:val="20"/>
          <w:lang w:val="en-GB" w:eastAsia="fi-FI"/>
        </w:rPr>
      </w:pPr>
      <w:r w:rsidRPr="006E5FEA">
        <w:rPr>
          <w:rFonts w:eastAsia="Times New Roman"/>
          <w:b/>
          <w:bCs/>
          <w:color w:val="222222"/>
          <w:sz w:val="20"/>
          <w:szCs w:val="20"/>
          <w:lang w:val="en-GB" w:eastAsia="fi-FI"/>
        </w:rPr>
        <w:t>Consumer incivility, social media brand representatives’ efforts and social media brand trust</w:t>
      </w:r>
    </w:p>
    <w:p w14:paraId="2799ED0B" w14:textId="77777777" w:rsidR="006E5FEA" w:rsidRPr="006E5FEA" w:rsidRDefault="006E5FEA" w:rsidP="006E5FEA">
      <w:pPr>
        <w:pBdr>
          <w:top w:val="nil"/>
          <w:left w:val="nil"/>
          <w:bottom w:val="nil"/>
          <w:right w:val="nil"/>
          <w:between w:val="nil"/>
        </w:pBd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t xml:space="preserve">Social media brand representatives’ efforts to deal with consumer incivility are affected by consumer incivility on social media platforms. </w:t>
      </w:r>
      <w:proofErr w:type="spellStart"/>
      <w:r w:rsidRPr="006E5FEA">
        <w:rPr>
          <w:rFonts w:eastAsia="Times New Roman"/>
          <w:color w:val="222222"/>
          <w:sz w:val="20"/>
          <w:szCs w:val="20"/>
          <w:lang w:val="en-GB" w:eastAsia="fi-FI"/>
        </w:rPr>
        <w:t>Sweiss</w:t>
      </w:r>
      <w:proofErr w:type="spellEnd"/>
      <w:r w:rsidRPr="006E5FEA">
        <w:rPr>
          <w:rFonts w:eastAsia="Times New Roman"/>
          <w:color w:val="222222"/>
          <w:sz w:val="20"/>
          <w:szCs w:val="20"/>
          <w:lang w:val="en-GB" w:eastAsia="fi-FI"/>
        </w:rPr>
        <w:t xml:space="preserve">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(2021) found that the higher the level of efforts of a company’s social media brand representatives to deal with consumer incivility, the lower the effect of uncivil consumer acts on the overall reactions of the consumers who are members of the company’s social media brand community. In contrast, the lower the efforts of a company’s social media brand representatives to deal with consumer misconduct, the higher the impact of such consumer misconduct on social media brand trust and evaluation. For instance, uncivil consumer behaviour negatively and significantly affects consumer evaluation and satisfaction (Huang, 2008), and the influence of consumer incivility is mediated by job satisfaction and professional identity (Huang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xml:space="preserve">., 2022; Pu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2022). Simultaneously, Huang (2010) reported that uncivil consumer acts influence other consumers’ negative word-of-mouth communication and repurchase intentions. Thus, this paper presents the likely consumer evaluation (e.g. social media brand trust) of social media brand communities influenced by consumer incivility and shows how the efforts of the company’s representatives to deal with the resulting critical situation can address it. It was hypothesised that the higher the social media representatives’ efforts to deal with the situation stemming from customer incivility, the lower the impact of the consumer incivility and the higher the participant trust in the social media brand, and vice versa. Therefore, we propose the following hypothesis:</w:t>
      </w:r>
    </w:p>
    <w:p w14:paraId="57277F52" w14:textId="77777777" w:rsidR="006E5FEA" w:rsidRPr="006E5FEA" w:rsidRDefault="006E5FEA" w:rsidP="006E5FEA">
      <w:pPr>
        <w:pBdr>
          <w:top w:val="nil"/>
          <w:left w:val="nil"/>
          <w:bottom w:val="nil"/>
          <w:right w:val="nil"/>
          <w:between w:val="nil"/>
        </w:pBd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t> </w:t>
      </w:r>
    </w:p>
    <w:p w14:paraId="214C5774" w14:textId="77777777" w:rsidR="006E5FEA" w:rsidRPr="006E5FEA" w:rsidRDefault="006E5FEA" w:rsidP="006E5FEA">
      <w:pPr>
        <w:pBdr>
          <w:top w:val="nil"/>
          <w:left w:val="nil"/>
          <w:bottom w:val="nil"/>
          <w:right w:val="nil"/>
          <w:between w:val="nil"/>
        </w:pBd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t>H2: Consumer incivility inversely influences social media brand representatives’ efforts to contain its impact.</w:t>
      </w:r>
    </w:p>
    <w:p w14:paraId="08C3B318" w14:textId="77777777" w:rsidR="006E5FEA" w:rsidRPr="006E5FEA" w:rsidRDefault="006E5FEA" w:rsidP="006E5FEA">
      <w:pPr>
        <w:pBdr>
          <w:top w:val="nil"/>
          <w:left w:val="nil"/>
          <w:bottom w:val="nil"/>
          <w:right w:val="nil"/>
          <w:between w:val="nil"/>
        </w:pBd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t>H3: Consumer incivility inversely influences social media brand trust.</w:t>
      </w:r>
    </w:p>
    <w:p w14:paraId="56BA4ACD" w14:textId="77777777" w:rsidR="006E5FEA" w:rsidRPr="006E5FEA" w:rsidRDefault="006E5FEA" w:rsidP="006E5FEA">
      <w:pPr>
        <w:pBdr>
          <w:top w:val="nil"/>
          <w:left w:val="nil"/>
          <w:bottom w:val="nil"/>
          <w:right w:val="nil"/>
          <w:between w:val="nil"/>
        </w:pBdr>
        <w:spacing w:after="0" w:line="240" w:lineRule="auto"/>
        <w:jc w:val="both"/>
        <w:rPr>
          <w:rFonts w:eastAsia="Times New Roman"/>
          <w:b/>
          <w:bCs/>
          <w:color w:val="222222"/>
          <w:sz w:val="20"/>
          <w:szCs w:val="20"/>
          <w:lang w:val="en-GB" w:eastAsia="fi-FI"/>
        </w:rPr>
      </w:pPr>
    </w:p>
    <w:p w14:paraId="43D48552" w14:textId="5A45E3DA" w:rsidR="006E5FEA" w:rsidRPr="006E5FEA" w:rsidRDefault="006E5FEA" w:rsidP="006E5FEA">
      <w:pPr>
        <w:pBdr>
          <w:top w:val="nil"/>
          <w:left w:val="nil"/>
          <w:bottom w:val="nil"/>
          <w:right w:val="nil"/>
          <w:between w:val="nil"/>
        </w:pBdr>
        <w:spacing w:after="0" w:line="240" w:lineRule="auto"/>
        <w:jc w:val="both"/>
        <w:rPr>
          <w:rFonts w:eastAsia="Times New Roman"/>
          <w:b/>
          <w:bCs/>
          <w:color w:val="222222"/>
          <w:sz w:val="20"/>
          <w:szCs w:val="20"/>
          <w:lang w:val="en-GB" w:eastAsia="fi-FI"/>
        </w:rPr>
      </w:pPr>
      <w:r w:rsidRPr="006E5FEA">
        <w:rPr>
          <w:rFonts w:eastAsia="Times New Roman"/>
          <w:b/>
          <w:bCs/>
          <w:color w:val="222222"/>
          <w:sz w:val="20"/>
          <w:szCs w:val="20"/>
          <w:lang w:val="en-GB" w:eastAsia="fi-FI"/>
        </w:rPr>
        <w:t>Social media brand representatives’ efforts and social media brand community participation</w:t>
      </w:r>
    </w:p>
    <w:p w14:paraId="4B0B7561" w14:textId="77777777" w:rsidR="006E5FEA" w:rsidRPr="006E5FEA" w:rsidRDefault="006E5FEA" w:rsidP="006E5FEA">
      <w:pPr>
        <w:pBdr>
          <w:top w:val="nil"/>
          <w:left w:val="nil"/>
          <w:bottom w:val="nil"/>
          <w:right w:val="nil"/>
          <w:between w:val="nil"/>
        </w:pBd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t>Social media representatives’ efforts pertain to the degree of efforts of the company employees to win the trust of social media brand consumers and to contain the effects of a situation potentially detrimental to the company, such as consumer incivility during community interaction (Huang, 2010). In the social media context, how social media brand representatives’ efforts to handle consumer incivility or misbehaviour (</w:t>
      </w:r>
      <w:proofErr w:type="spellStart"/>
      <w:r w:rsidRPr="006E5FEA">
        <w:rPr>
          <w:rFonts w:eastAsia="Times New Roman"/>
          <w:color w:val="222222"/>
          <w:sz w:val="20"/>
          <w:szCs w:val="20"/>
          <w:lang w:val="en-GB" w:eastAsia="fi-FI"/>
        </w:rPr>
        <w:t>Sweiss</w:t>
      </w:r>
      <w:proofErr w:type="spellEnd"/>
      <w:r w:rsidRPr="006E5FEA">
        <w:rPr>
          <w:rFonts w:eastAsia="Times New Roman"/>
          <w:color w:val="222222"/>
          <w:sz w:val="20"/>
          <w:szCs w:val="20"/>
          <w:lang w:val="en-GB" w:eastAsia="fi-FI"/>
        </w:rPr>
        <w:t xml:space="preserve">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xml:space="preserve">., 2021) regarding complaints and repurchases (De Matos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2009) influence customer loyalty (</w:t>
      </w:r>
      <w:proofErr w:type="spellStart"/>
      <w:r w:rsidRPr="006E5FEA">
        <w:rPr>
          <w:rFonts w:eastAsia="Times New Roman"/>
          <w:color w:val="222222"/>
          <w:sz w:val="20"/>
          <w:szCs w:val="20"/>
          <w:lang w:val="en-GB" w:eastAsia="fi-FI"/>
        </w:rPr>
        <w:t>Karatepe</w:t>
      </w:r>
      <w:proofErr w:type="spellEnd"/>
      <w:r w:rsidRPr="006E5FEA">
        <w:rPr>
          <w:rFonts w:eastAsia="Times New Roman"/>
          <w:color w:val="222222"/>
          <w:sz w:val="20"/>
          <w:szCs w:val="20"/>
          <w:lang w:val="en-GB" w:eastAsia="fi-FI"/>
        </w:rPr>
        <w:t>, 2006) and satisfaction (Huang, 2008; 2010) has been seen. The moderating effect of company representatives’ efforts to deal with consumer incivility on the relationship between attitude and brand community engagement has also been examined, and significant positive results have been obtained (</w:t>
      </w:r>
      <w:proofErr w:type="spellStart"/>
      <w:r w:rsidRPr="006E5FEA">
        <w:rPr>
          <w:rFonts w:eastAsia="Times New Roman"/>
          <w:color w:val="222222"/>
          <w:sz w:val="20"/>
          <w:szCs w:val="20"/>
          <w:lang w:val="en-GB" w:eastAsia="fi-FI"/>
        </w:rPr>
        <w:t>Obeidat</w:t>
      </w:r>
      <w:proofErr w:type="spellEnd"/>
      <w:r w:rsidRPr="006E5FEA">
        <w:rPr>
          <w:rFonts w:eastAsia="Times New Roman"/>
          <w:color w:val="222222"/>
          <w:sz w:val="20"/>
          <w:szCs w:val="20"/>
          <w:lang w:val="en-GB" w:eastAsia="fi-FI"/>
        </w:rPr>
        <w:t xml:space="preserve">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2020). The present study sought to determine whether the direct effect of social media brand representatives’ efforts to deal with consumer incivility on social media brand community participation still has to be established. To fill this research gap, we proposed the following hypothesis:</w:t>
      </w:r>
    </w:p>
    <w:p w14:paraId="11A2D4DF" w14:textId="77777777" w:rsidR="006E5FEA" w:rsidRPr="006E5FEA" w:rsidRDefault="006E5FEA" w:rsidP="006E5FEA">
      <w:pPr>
        <w:pBdr>
          <w:top w:val="nil"/>
          <w:left w:val="nil"/>
          <w:bottom w:val="nil"/>
          <w:right w:val="nil"/>
          <w:between w:val="nil"/>
        </w:pBd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t xml:space="preserve"> </w:t>
      </w:r>
    </w:p>
    <w:p w14:paraId="2ECD1F31" w14:textId="77777777" w:rsidR="006E5FEA" w:rsidRPr="006E5FEA" w:rsidRDefault="006E5FEA" w:rsidP="006E5FEA">
      <w:pPr>
        <w:pBdr>
          <w:top w:val="nil"/>
          <w:left w:val="nil"/>
          <w:bottom w:val="nil"/>
          <w:right w:val="nil"/>
          <w:between w:val="nil"/>
        </w:pBdr>
        <w:spacing w:after="0" w:line="240" w:lineRule="auto"/>
        <w:jc w:val="both"/>
        <w:rPr>
          <w:rFonts w:eastAsia="Times New Roman"/>
          <w:color w:val="222222"/>
          <w:sz w:val="20"/>
          <w:szCs w:val="20"/>
          <w:lang w:val="en-GB" w:eastAsia="fi-FI"/>
        </w:rPr>
      </w:pPr>
      <w:bookmarkStart w:id="5" w:name="_Hlk108011797"/>
      <w:r w:rsidRPr="006E5FEA">
        <w:rPr>
          <w:rFonts w:eastAsia="Times New Roman"/>
          <w:color w:val="222222"/>
          <w:sz w:val="20"/>
          <w:szCs w:val="20"/>
          <w:lang w:val="en-GB" w:eastAsia="fi-FI"/>
        </w:rPr>
        <w:t>H4: Social media brand representatives’ efforts to deal with customer incivility positively influence social media brand community participation.</w:t>
      </w:r>
    </w:p>
    <w:bookmarkEnd w:id="5"/>
    <w:p w14:paraId="0E326CC7" w14:textId="77777777" w:rsidR="006E5FEA" w:rsidRPr="006E5FEA" w:rsidRDefault="006E5FEA" w:rsidP="006E5FEA">
      <w:pPr>
        <w:pBdr>
          <w:top w:val="nil"/>
          <w:left w:val="nil"/>
          <w:bottom w:val="nil"/>
          <w:right w:val="nil"/>
          <w:between w:val="nil"/>
        </w:pBdr>
        <w:spacing w:after="0" w:line="240" w:lineRule="auto"/>
        <w:jc w:val="both"/>
        <w:rPr>
          <w:rFonts w:eastAsia="Times New Roman"/>
          <w:b/>
          <w:bCs/>
          <w:color w:val="222222"/>
          <w:sz w:val="20"/>
          <w:szCs w:val="20"/>
          <w:lang w:val="en-GB" w:eastAsia="fi-FI"/>
        </w:rPr>
      </w:pPr>
    </w:p>
    <w:p w14:paraId="3F83B6D4" w14:textId="77777777" w:rsidR="006E5FEA" w:rsidRPr="006E5FEA" w:rsidRDefault="006E5FEA" w:rsidP="006E5FEA">
      <w:pPr>
        <w:pBdr>
          <w:top w:val="nil"/>
          <w:left w:val="nil"/>
          <w:bottom w:val="nil"/>
          <w:right w:val="nil"/>
          <w:between w:val="nil"/>
        </w:pBdr>
        <w:spacing w:after="0" w:line="240" w:lineRule="auto"/>
        <w:jc w:val="both"/>
        <w:rPr>
          <w:rFonts w:eastAsia="Times New Roman"/>
          <w:b/>
          <w:bCs/>
          <w:color w:val="222222"/>
          <w:sz w:val="20"/>
          <w:szCs w:val="20"/>
          <w:lang w:val="en-GB" w:eastAsia="fi-FI"/>
        </w:rPr>
      </w:pPr>
      <w:r w:rsidRPr="006E5FEA">
        <w:rPr>
          <w:rFonts w:eastAsia="Times New Roman"/>
          <w:b/>
          <w:bCs/>
          <w:color w:val="222222"/>
          <w:sz w:val="20"/>
          <w:szCs w:val="20"/>
          <w:lang w:val="en-GB" w:eastAsia="fi-FI"/>
        </w:rPr>
        <w:t>Social media brand community participation and social media brand trust</w:t>
      </w:r>
    </w:p>
    <w:p w14:paraId="3B09C71F" w14:textId="77777777" w:rsidR="006E5FEA" w:rsidRPr="006E5FEA" w:rsidRDefault="006E5FEA" w:rsidP="006E5FEA">
      <w:pPr>
        <w:pBdr>
          <w:top w:val="nil"/>
          <w:left w:val="nil"/>
          <w:bottom w:val="nil"/>
          <w:right w:val="nil"/>
          <w:between w:val="nil"/>
        </w:pBdr>
        <w:spacing w:after="0" w:line="240" w:lineRule="auto"/>
        <w:jc w:val="both"/>
        <w:rPr>
          <w:rFonts w:eastAsia="Times New Roman"/>
          <w:color w:val="222222"/>
          <w:sz w:val="20"/>
          <w:szCs w:val="20"/>
          <w:lang w:val="en-GB" w:eastAsia="fi-FI"/>
        </w:rPr>
      </w:pPr>
      <w:r w:rsidRPr="006E5FEA">
        <w:rPr>
          <w:rFonts w:eastAsia="Times New Roman"/>
          <w:color w:val="222222"/>
          <w:sz w:val="20"/>
          <w:szCs w:val="20"/>
          <w:lang w:val="en-GB" w:eastAsia="fi-FI"/>
        </w:rPr>
        <w:t xml:space="preserve">Social media community platforms are technology-driven societies. Social media forums can act as antecedents or mediators of community participation (Hook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xml:space="preserve">., 2018). From a social media perspective, Kim and Ahmad (2013) define social media brand trust as ‘a subject’s degree of belief in a content provider’s task competence, based on the expectation that the content provider generally and consistently delivers satisfactory and high-quality content in [its] social-media pages [that] consumers are willing to take [the] consumer-generated content provided by the content provider even with the possibility of risk’ (p. 440). They add that ‘[t]his action is accompanied by feelings of security and strong positive emotions’ (p. 440). Regarding trust perception, </w:t>
      </w:r>
      <w:proofErr w:type="spellStart"/>
      <w:r w:rsidRPr="006E5FEA">
        <w:rPr>
          <w:rFonts w:eastAsia="Times New Roman"/>
          <w:color w:val="222222"/>
          <w:sz w:val="20"/>
          <w:szCs w:val="20"/>
          <w:lang w:val="en-GB" w:eastAsia="fi-FI"/>
        </w:rPr>
        <w:t>Casaló</w:t>
      </w:r>
      <w:proofErr w:type="spellEnd"/>
      <w:r w:rsidRPr="006E5FEA">
        <w:rPr>
          <w:rFonts w:eastAsia="Times New Roman"/>
          <w:color w:val="222222"/>
          <w:sz w:val="20"/>
          <w:szCs w:val="20"/>
          <w:lang w:val="en-GB" w:eastAsia="fi-FI"/>
        </w:rPr>
        <w:t xml:space="preserve">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xml:space="preserve">. (2008) identified the trust impact on brand communities to establish a community’s trust and its members in the community. A few studies have proposed investigating social media brand trust prior to participation (Chen &amp; Ku, 2013; </w:t>
      </w:r>
      <w:proofErr w:type="spellStart"/>
      <w:r w:rsidRPr="006E5FEA">
        <w:rPr>
          <w:rFonts w:eastAsia="Times New Roman"/>
          <w:color w:val="222222"/>
          <w:sz w:val="20"/>
          <w:szCs w:val="20"/>
          <w:lang w:val="en-GB" w:eastAsia="fi-FI"/>
        </w:rPr>
        <w:t>Hur</w:t>
      </w:r>
      <w:proofErr w:type="spellEnd"/>
      <w:r w:rsidRPr="006E5FEA">
        <w:rPr>
          <w:rFonts w:eastAsia="Times New Roman"/>
          <w:color w:val="222222"/>
          <w:sz w:val="20"/>
          <w:szCs w:val="20"/>
          <w:lang w:val="en-GB" w:eastAsia="fi-FI"/>
        </w:rPr>
        <w:t xml:space="preserve">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xml:space="preserve">., 2011; Tsai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 xml:space="preserve">., 2012). Hook </w:t>
      </w:r>
      <w:r w:rsidRPr="006E5FEA">
        <w:rPr>
          <w:rFonts w:eastAsia="Times New Roman"/>
          <w:i/>
          <w:iCs/>
          <w:color w:val="222222"/>
          <w:sz w:val="20"/>
          <w:szCs w:val="20"/>
          <w:lang w:val="en-GB" w:eastAsia="fi-FI"/>
        </w:rPr>
        <w:t>et al</w:t>
      </w:r>
      <w:r w:rsidRPr="006E5FEA">
        <w:rPr>
          <w:rFonts w:eastAsia="Times New Roman"/>
          <w:color w:val="222222"/>
          <w:sz w:val="20"/>
          <w:szCs w:val="20"/>
          <w:lang w:val="en-GB" w:eastAsia="fi-FI"/>
        </w:rPr>
        <w:t>.’s (2018) proposal to identify how social media brand trust is established after social media brand community participation has yet to be fully implemented. The present study thus analysed how social media brand trust can be gained. Therefore, the following hypothesis was proposed:</w:t>
      </w:r>
    </w:p>
    <w:p w14:paraId="0128BD84" w14:textId="77777777" w:rsidR="006E5FEA" w:rsidRPr="006E5FEA" w:rsidRDefault="006E5FEA" w:rsidP="006E5FEA">
      <w:pPr>
        <w:pBdr>
          <w:top w:val="nil"/>
          <w:left w:val="nil"/>
          <w:bottom w:val="nil"/>
          <w:right w:val="nil"/>
          <w:between w:val="nil"/>
        </w:pBdr>
        <w:spacing w:after="0" w:line="240" w:lineRule="auto"/>
        <w:jc w:val="both"/>
        <w:rPr>
          <w:rFonts w:eastAsia="Times New Roman"/>
          <w:b/>
          <w:bCs/>
          <w:color w:val="222222"/>
          <w:sz w:val="20"/>
          <w:szCs w:val="20"/>
          <w:lang w:val="en-GB" w:eastAsia="fi-FI"/>
        </w:rPr>
      </w:pPr>
      <w:r w:rsidRPr="006E5FEA">
        <w:rPr>
          <w:rFonts w:eastAsia="Times New Roman"/>
          <w:b/>
          <w:bCs/>
          <w:color w:val="222222"/>
          <w:sz w:val="20"/>
          <w:szCs w:val="20"/>
          <w:lang w:val="en-GB" w:eastAsia="fi-FI"/>
        </w:rPr>
        <w:t xml:space="preserve"> </w:t>
      </w:r>
    </w:p>
    <w:p w14:paraId="38B8E488" w14:textId="12FB2ED9" w:rsidR="00832A77" w:rsidRPr="006E5FEA" w:rsidRDefault="006E5FEA" w:rsidP="006E5FEA">
      <w:pPr>
        <w:pBdr>
          <w:top w:val="nil"/>
          <w:left w:val="nil"/>
          <w:bottom w:val="nil"/>
          <w:right w:val="nil"/>
          <w:between w:val="nil"/>
        </w:pBdr>
        <w:spacing w:after="0" w:line="240" w:lineRule="auto"/>
        <w:jc w:val="both"/>
        <w:rPr>
          <w:rFonts w:eastAsia="Times New Roman"/>
          <w:sz w:val="20"/>
          <w:szCs w:val="20"/>
          <w:lang w:eastAsia="en-US"/>
        </w:rPr>
      </w:pPr>
      <w:bookmarkStart w:id="6" w:name="_Hlk108011808"/>
      <w:r w:rsidRPr="006E5FEA">
        <w:rPr>
          <w:rFonts w:eastAsia="Times New Roman"/>
          <w:color w:val="222222"/>
          <w:sz w:val="20"/>
          <w:szCs w:val="20"/>
          <w:lang w:val="en-GB" w:eastAsia="fi-FI"/>
        </w:rPr>
        <w:t>H5: Social media brand community participation increases social media brand trust</w:t>
      </w:r>
      <w:bookmarkEnd w:id="6"/>
      <w:r w:rsidRPr="006E5FEA">
        <w:rPr>
          <w:rFonts w:eastAsia="Times New Roman"/>
          <w:color w:val="222222"/>
          <w:sz w:val="20"/>
          <w:szCs w:val="20"/>
          <w:lang w:val="en-GB" w:eastAsia="fi-FI"/>
        </w:rPr>
        <w:t>.</w:t>
      </w:r>
    </w:p>
    <w:p w14:paraId="63961DC4" w14:textId="4048823B" w:rsidR="00213D3D" w:rsidRPr="00213D3D" w:rsidRDefault="00213D3D" w:rsidP="00213D3D">
      <w:pPr>
        <w:pBdr>
          <w:top w:val="nil"/>
          <w:left w:val="nil"/>
          <w:bottom w:val="nil"/>
          <w:right w:val="nil"/>
          <w:between w:val="nil"/>
        </w:pBdr>
        <w:spacing w:after="0" w:line="240" w:lineRule="auto"/>
        <w:jc w:val="both"/>
        <w:rPr>
          <w:rFonts w:eastAsia="Times New Roman"/>
          <w:bCs/>
          <w:sz w:val="20"/>
          <w:szCs w:val="20"/>
          <w:lang w:eastAsia="en-US"/>
        </w:rPr>
      </w:pPr>
      <w:r w:rsidRPr="00213D3D">
        <w:rPr>
          <w:rFonts w:eastAsia="Times New Roman"/>
          <w:bCs/>
          <w:sz w:val="20"/>
          <w:szCs w:val="20"/>
          <w:lang w:eastAsia="en-US"/>
        </w:rPr>
        <w:t xml:space="preserve">           </w:t>
      </w:r>
    </w:p>
    <w:p w14:paraId="5E37B7EC" w14:textId="25E1D2A2" w:rsidR="00B255D6" w:rsidRPr="00FD13F4" w:rsidRDefault="00B255D6" w:rsidP="00FD13F4">
      <w:pPr>
        <w:pStyle w:val="NoSpacing"/>
        <w:jc w:val="center"/>
        <w:rPr>
          <w:b/>
          <w:bCs/>
          <w:sz w:val="20"/>
          <w:szCs w:val="20"/>
        </w:rPr>
      </w:pPr>
      <w:r w:rsidRPr="00FD13F4">
        <w:rPr>
          <w:b/>
          <w:bCs/>
          <w:sz w:val="20"/>
          <w:szCs w:val="20"/>
        </w:rPr>
        <w:t>METHOD</w:t>
      </w:r>
      <w:r w:rsidR="000D4990">
        <w:rPr>
          <w:b/>
          <w:bCs/>
          <w:sz w:val="20"/>
          <w:szCs w:val="20"/>
        </w:rPr>
        <w:t>S</w:t>
      </w:r>
    </w:p>
    <w:p w14:paraId="19A53EE0" w14:textId="77777777" w:rsidR="00D1693E" w:rsidRPr="00D1693E" w:rsidRDefault="00D1693E" w:rsidP="00D1693E">
      <w:pPr>
        <w:spacing w:after="0" w:line="240" w:lineRule="auto"/>
        <w:rPr>
          <w:rFonts w:eastAsia="Times New Roman"/>
          <w:color w:val="222222"/>
          <w:szCs w:val="24"/>
          <w:lang w:val="en-GB" w:eastAsia="fi-FI"/>
        </w:rPr>
      </w:pPr>
      <w:bookmarkStart w:id="7" w:name="_Hlk45273305"/>
      <w:r w:rsidRPr="00D1693E">
        <w:rPr>
          <w:rFonts w:eastAsia="Times New Roman"/>
          <w:b/>
          <w:bCs/>
          <w:color w:val="222222"/>
          <w:sz w:val="20"/>
          <w:szCs w:val="20"/>
          <w:lang w:eastAsia="fi-FI"/>
        </w:rPr>
        <w:t>Data Collection Procedure and Sample</w:t>
      </w:r>
      <w:bookmarkEnd w:id="7"/>
    </w:p>
    <w:p w14:paraId="11366045" w14:textId="6645CC72" w:rsidR="00C650C4" w:rsidRPr="00C650C4" w:rsidRDefault="00C650C4" w:rsidP="00C650C4">
      <w:pPr>
        <w:spacing w:after="0" w:line="240" w:lineRule="auto"/>
        <w:jc w:val="both"/>
        <w:rPr>
          <w:rFonts w:eastAsia="Times New Roman"/>
          <w:color w:val="222222"/>
          <w:sz w:val="20"/>
          <w:szCs w:val="20"/>
          <w:lang w:val="en-GB" w:eastAsia="fi-FI"/>
        </w:rPr>
      </w:pPr>
      <w:r w:rsidRPr="00C650C4">
        <w:rPr>
          <w:rFonts w:eastAsia="Times New Roman"/>
          <w:color w:val="222222"/>
          <w:sz w:val="20"/>
          <w:szCs w:val="20"/>
          <w:lang w:val="en-GB" w:eastAsia="fi-FI"/>
        </w:rPr>
        <w:t xml:space="preserve">Social media consumers from social media platforms (e.g. Facebook, Twitter, Instagram) were the target sample of the present study, and data were collected through an online Google survey form. The survey respondents were experienced social media </w:t>
      </w:r>
      <w:r w:rsidRPr="00C650C4">
        <w:rPr>
          <w:rFonts w:eastAsia="Times New Roman"/>
          <w:color w:val="222222"/>
          <w:sz w:val="20"/>
          <w:szCs w:val="20"/>
          <w:lang w:val="en-GB" w:eastAsia="fi-FI"/>
        </w:rPr>
        <w:lastRenderedPageBreak/>
        <w:t xml:space="preserve">consumers </w:t>
      </w:r>
      <w:r w:rsidR="00C740EF">
        <w:rPr>
          <w:rFonts w:eastAsia="Times New Roman"/>
          <w:color w:val="222222"/>
          <w:sz w:val="20"/>
          <w:szCs w:val="20"/>
          <w:lang w:val="en-GB" w:eastAsia="fi-FI"/>
        </w:rPr>
        <w:t xml:space="preserve">from Pakistan </w:t>
      </w:r>
      <w:r w:rsidRPr="00C650C4">
        <w:rPr>
          <w:rFonts w:eastAsia="Times New Roman"/>
          <w:color w:val="222222"/>
          <w:sz w:val="20"/>
          <w:szCs w:val="20"/>
          <w:lang w:val="en-GB" w:eastAsia="fi-FI"/>
        </w:rPr>
        <w:t>and were able to respond to our survey questionnaires related to social media community activities.</w:t>
      </w:r>
      <w:r w:rsidRPr="00C650C4">
        <w:rPr>
          <w:rFonts w:eastAsia="Times New Roman"/>
          <w:b/>
          <w:bCs/>
          <w:color w:val="222222"/>
          <w:sz w:val="20"/>
          <w:szCs w:val="20"/>
          <w:lang w:val="en-GB" w:eastAsia="fi-FI"/>
        </w:rPr>
        <w:t> </w:t>
      </w:r>
      <w:r w:rsidRPr="00C650C4">
        <w:rPr>
          <w:rFonts w:eastAsia="Times New Roman"/>
          <w:color w:val="222222"/>
          <w:sz w:val="20"/>
          <w:szCs w:val="20"/>
          <w:lang w:val="en-GB" w:eastAsia="fi-FI"/>
        </w:rPr>
        <w:t xml:space="preserve">A hybrid of the convenience and snowball sampling techniques was used because these techniques are the ideal subject recruitment methods in social media settings, such as social media platforms, whose members are identifiable. They include referrals, making the subject recruitment more time-efficient and making the data easy to access. The non-probability sampling technique is acceptable ‘when the purpose of research is theory testing or generalizability’ (Calder </w:t>
      </w:r>
      <w:r w:rsidRPr="00C650C4">
        <w:rPr>
          <w:rFonts w:eastAsia="Times New Roman"/>
          <w:i/>
          <w:iCs/>
          <w:color w:val="222222"/>
          <w:sz w:val="20"/>
          <w:szCs w:val="20"/>
          <w:lang w:val="en-GB" w:eastAsia="fi-FI"/>
        </w:rPr>
        <w:t>et al</w:t>
      </w:r>
      <w:r w:rsidRPr="00C650C4">
        <w:rPr>
          <w:rFonts w:eastAsia="Times New Roman"/>
          <w:color w:val="222222"/>
          <w:sz w:val="20"/>
          <w:szCs w:val="20"/>
          <w:lang w:val="en-GB" w:eastAsia="fi-FI"/>
        </w:rPr>
        <w:t>., 1981).</w:t>
      </w:r>
    </w:p>
    <w:p w14:paraId="6E17DF73" w14:textId="77777777" w:rsidR="00C650C4" w:rsidRPr="00C650C4" w:rsidRDefault="00C650C4" w:rsidP="00C650C4">
      <w:pPr>
        <w:spacing w:after="0" w:line="240" w:lineRule="auto"/>
        <w:jc w:val="both"/>
        <w:rPr>
          <w:rFonts w:eastAsia="Times New Roman"/>
          <w:color w:val="222222"/>
          <w:sz w:val="20"/>
          <w:szCs w:val="20"/>
          <w:lang w:val="en-GB" w:eastAsia="fi-FI"/>
        </w:rPr>
      </w:pPr>
      <w:r w:rsidRPr="00C650C4">
        <w:rPr>
          <w:rFonts w:eastAsia="Times New Roman"/>
          <w:color w:val="222222"/>
          <w:sz w:val="20"/>
          <w:szCs w:val="20"/>
          <w:lang w:val="en-GB" w:eastAsia="fi-FI"/>
        </w:rPr>
        <w:t> </w:t>
      </w:r>
    </w:p>
    <w:p w14:paraId="54C40623" w14:textId="7783DD00" w:rsidR="00FB221A" w:rsidRPr="00D1693E" w:rsidRDefault="00C650C4" w:rsidP="00C650C4">
      <w:pPr>
        <w:spacing w:after="0" w:line="240" w:lineRule="auto"/>
        <w:jc w:val="both"/>
        <w:rPr>
          <w:rFonts w:eastAsia="Times New Roman"/>
          <w:color w:val="222222"/>
          <w:szCs w:val="24"/>
          <w:lang w:val="en-GB" w:eastAsia="fi-FI"/>
        </w:rPr>
      </w:pPr>
      <w:r w:rsidRPr="00C650C4">
        <w:rPr>
          <w:rFonts w:eastAsia="Times New Roman"/>
          <w:color w:val="222222"/>
          <w:sz w:val="20"/>
          <w:szCs w:val="20"/>
          <w:lang w:val="en-GB" w:eastAsia="fi-FI"/>
        </w:rPr>
        <w:t>Table 1 shows the social media consumer subjects’ gender, education, age, marital status and profession, which were analysed using SPSS 23. Regarding gender, 58% (n = 139) of the subjects were male, and only 42% (n = 101) were female. Regarding education, most were master’s degree holders (40%; n = 96), 33% (n = 80) were undergraduate degree holders, 10% (n = 24) were post-graduate degree holders and only 17% (n = 40) were from schools. With regard to age, 30% (n = 72) belonged to the 26–35 age group, 27% (n = 65) were younger than 25 years and 35% (n = 84) belonged to the 36–45 age group. Only 8% (n = 19) were older than 45 years. Regarding marital status, most were unmarried (55%; n = 132). Lastly, with regard to profession, 54% (n = 129) were employees, 23% (n = 56) were businesspeople, 18% (n = 44) were house husbands and 5% (n = 11) were retired.</w:t>
      </w:r>
      <w:r>
        <w:rPr>
          <w:rFonts w:eastAsia="Times New Roman"/>
          <w:color w:val="222222"/>
          <w:sz w:val="20"/>
          <w:szCs w:val="20"/>
          <w:lang w:val="en-GB" w:eastAsia="fi-FI"/>
        </w:rPr>
        <w:t xml:space="preserve"> </w:t>
      </w:r>
    </w:p>
    <w:p w14:paraId="7F2C5516" w14:textId="77777777" w:rsidR="00FB221A" w:rsidRDefault="00FB221A" w:rsidP="00FB221A">
      <w:pPr>
        <w:pBdr>
          <w:top w:val="nil"/>
          <w:left w:val="nil"/>
          <w:bottom w:val="nil"/>
          <w:right w:val="nil"/>
          <w:between w:val="nil"/>
        </w:pBdr>
        <w:spacing w:after="0" w:line="240" w:lineRule="auto"/>
        <w:ind w:left="2880" w:firstLine="720"/>
        <w:rPr>
          <w:sz w:val="20"/>
          <w:szCs w:val="20"/>
        </w:rPr>
      </w:pPr>
    </w:p>
    <w:p w14:paraId="62C92E2B" w14:textId="24BC0FF1" w:rsidR="00FB221A" w:rsidRDefault="00FB221A" w:rsidP="009B6DE8">
      <w:pPr>
        <w:pBdr>
          <w:top w:val="nil"/>
          <w:left w:val="nil"/>
          <w:bottom w:val="nil"/>
          <w:right w:val="nil"/>
          <w:between w:val="nil"/>
        </w:pBdr>
        <w:spacing w:after="0" w:line="240" w:lineRule="auto"/>
        <w:jc w:val="center"/>
        <w:rPr>
          <w:sz w:val="20"/>
          <w:szCs w:val="20"/>
        </w:rPr>
      </w:pPr>
      <w:r w:rsidRPr="0059365A">
        <w:rPr>
          <w:sz w:val="20"/>
          <w:szCs w:val="20"/>
        </w:rPr>
        <w:t>Table 1: Respondents’ Profile</w:t>
      </w:r>
    </w:p>
    <w:p w14:paraId="5DBC5F13" w14:textId="77777777" w:rsidR="00A25872" w:rsidRDefault="00A25872" w:rsidP="009B6DE8">
      <w:pPr>
        <w:pBdr>
          <w:top w:val="nil"/>
          <w:left w:val="nil"/>
          <w:bottom w:val="nil"/>
          <w:right w:val="nil"/>
          <w:between w:val="nil"/>
        </w:pBdr>
        <w:spacing w:after="0" w:line="240" w:lineRule="auto"/>
        <w:jc w:val="center"/>
        <w:rPr>
          <w:sz w:val="20"/>
          <w:szCs w:val="20"/>
        </w:rPr>
      </w:pPr>
    </w:p>
    <w:tbl>
      <w:tblPr>
        <w:tblW w:w="0" w:type="auto"/>
        <w:tblBorders>
          <w:top w:val="single" w:sz="4" w:space="0" w:color="auto"/>
          <w:bottom w:val="single" w:sz="4" w:space="0" w:color="auto"/>
        </w:tblBorders>
        <w:tblLook w:val="04A0" w:firstRow="1" w:lastRow="0" w:firstColumn="1" w:lastColumn="0" w:noHBand="0" w:noVBand="1"/>
      </w:tblPr>
      <w:tblGrid>
        <w:gridCol w:w="1719"/>
        <w:gridCol w:w="1691"/>
        <w:gridCol w:w="1693"/>
        <w:gridCol w:w="1718"/>
        <w:gridCol w:w="1691"/>
        <w:gridCol w:w="1693"/>
      </w:tblGrid>
      <w:tr w:rsidR="002B49D4" w14:paraId="46A2F366" w14:textId="77777777" w:rsidTr="002B49D4">
        <w:tc>
          <w:tcPr>
            <w:tcW w:w="1724" w:type="dxa"/>
            <w:tcBorders>
              <w:top w:val="single" w:sz="4" w:space="0" w:color="auto"/>
              <w:bottom w:val="single" w:sz="4" w:space="0" w:color="auto"/>
            </w:tcBorders>
            <w:shd w:val="clear" w:color="auto" w:fill="auto"/>
          </w:tcPr>
          <w:p w14:paraId="3385357E" w14:textId="500AB1AD" w:rsidR="00DE7C73" w:rsidRPr="002B49D4" w:rsidRDefault="00DE7C73" w:rsidP="002B49D4">
            <w:pPr>
              <w:spacing w:after="0" w:line="240" w:lineRule="auto"/>
              <w:jc w:val="center"/>
              <w:rPr>
                <w:sz w:val="20"/>
                <w:szCs w:val="20"/>
              </w:rPr>
            </w:pPr>
            <w:r w:rsidRPr="002B49D4">
              <w:rPr>
                <w:b/>
                <w:bCs/>
                <w:sz w:val="20"/>
                <w:szCs w:val="20"/>
              </w:rPr>
              <w:t>Characteristics</w:t>
            </w:r>
          </w:p>
        </w:tc>
        <w:tc>
          <w:tcPr>
            <w:tcW w:w="1724" w:type="dxa"/>
            <w:tcBorders>
              <w:top w:val="single" w:sz="4" w:space="0" w:color="auto"/>
              <w:bottom w:val="single" w:sz="4" w:space="0" w:color="auto"/>
            </w:tcBorders>
            <w:shd w:val="clear" w:color="auto" w:fill="auto"/>
          </w:tcPr>
          <w:p w14:paraId="1861E95C" w14:textId="2C81E52F" w:rsidR="00DE7C73" w:rsidRPr="002B49D4" w:rsidRDefault="00DE7C73" w:rsidP="002B49D4">
            <w:pPr>
              <w:spacing w:after="0" w:line="240" w:lineRule="auto"/>
              <w:jc w:val="center"/>
              <w:rPr>
                <w:sz w:val="20"/>
                <w:szCs w:val="20"/>
              </w:rPr>
            </w:pPr>
            <w:r w:rsidRPr="002B49D4">
              <w:rPr>
                <w:b/>
                <w:bCs/>
                <w:sz w:val="20"/>
                <w:szCs w:val="20"/>
              </w:rPr>
              <w:t>N</w:t>
            </w:r>
          </w:p>
        </w:tc>
        <w:tc>
          <w:tcPr>
            <w:tcW w:w="1724" w:type="dxa"/>
            <w:tcBorders>
              <w:top w:val="single" w:sz="4" w:space="0" w:color="auto"/>
              <w:bottom w:val="single" w:sz="4" w:space="0" w:color="auto"/>
            </w:tcBorders>
            <w:shd w:val="clear" w:color="auto" w:fill="auto"/>
          </w:tcPr>
          <w:p w14:paraId="7F4225F1" w14:textId="6313CE18" w:rsidR="00DE7C73" w:rsidRPr="002B49D4" w:rsidRDefault="00DE7C73" w:rsidP="002B49D4">
            <w:pPr>
              <w:spacing w:after="0" w:line="240" w:lineRule="auto"/>
              <w:jc w:val="center"/>
              <w:rPr>
                <w:sz w:val="20"/>
                <w:szCs w:val="20"/>
              </w:rPr>
            </w:pPr>
            <w:r w:rsidRPr="002B49D4">
              <w:rPr>
                <w:b/>
                <w:bCs/>
                <w:sz w:val="20"/>
                <w:szCs w:val="20"/>
              </w:rPr>
              <w:t>%</w:t>
            </w:r>
          </w:p>
        </w:tc>
        <w:tc>
          <w:tcPr>
            <w:tcW w:w="1724" w:type="dxa"/>
            <w:tcBorders>
              <w:top w:val="single" w:sz="4" w:space="0" w:color="auto"/>
              <w:bottom w:val="single" w:sz="4" w:space="0" w:color="auto"/>
            </w:tcBorders>
            <w:shd w:val="clear" w:color="auto" w:fill="auto"/>
          </w:tcPr>
          <w:p w14:paraId="27B67F3F" w14:textId="0327E43D" w:rsidR="00DE7C73" w:rsidRPr="002B49D4" w:rsidRDefault="00DE7C73" w:rsidP="002B49D4">
            <w:pPr>
              <w:spacing w:after="0" w:line="240" w:lineRule="auto"/>
              <w:jc w:val="center"/>
              <w:rPr>
                <w:sz w:val="20"/>
                <w:szCs w:val="20"/>
              </w:rPr>
            </w:pPr>
            <w:r w:rsidRPr="002B49D4">
              <w:rPr>
                <w:b/>
                <w:bCs/>
                <w:sz w:val="20"/>
                <w:szCs w:val="20"/>
              </w:rPr>
              <w:t>Characteristics</w:t>
            </w:r>
          </w:p>
        </w:tc>
        <w:tc>
          <w:tcPr>
            <w:tcW w:w="1724" w:type="dxa"/>
            <w:tcBorders>
              <w:top w:val="single" w:sz="4" w:space="0" w:color="auto"/>
              <w:bottom w:val="single" w:sz="4" w:space="0" w:color="auto"/>
            </w:tcBorders>
            <w:shd w:val="clear" w:color="auto" w:fill="auto"/>
          </w:tcPr>
          <w:p w14:paraId="1F3C4E8F" w14:textId="2C6B9A7B" w:rsidR="00DE7C73" w:rsidRPr="002B49D4" w:rsidRDefault="00DE7C73" w:rsidP="002B49D4">
            <w:pPr>
              <w:spacing w:after="0" w:line="240" w:lineRule="auto"/>
              <w:jc w:val="center"/>
              <w:rPr>
                <w:sz w:val="20"/>
                <w:szCs w:val="20"/>
              </w:rPr>
            </w:pPr>
            <w:r w:rsidRPr="002B49D4">
              <w:rPr>
                <w:b/>
                <w:bCs/>
                <w:sz w:val="20"/>
                <w:szCs w:val="20"/>
              </w:rPr>
              <w:t>N</w:t>
            </w:r>
          </w:p>
        </w:tc>
        <w:tc>
          <w:tcPr>
            <w:tcW w:w="1725" w:type="dxa"/>
            <w:tcBorders>
              <w:top w:val="single" w:sz="4" w:space="0" w:color="auto"/>
              <w:bottom w:val="single" w:sz="4" w:space="0" w:color="auto"/>
            </w:tcBorders>
            <w:shd w:val="clear" w:color="auto" w:fill="auto"/>
          </w:tcPr>
          <w:p w14:paraId="679E800A" w14:textId="37121B81" w:rsidR="00DE7C73" w:rsidRPr="002B49D4" w:rsidRDefault="00DE7C73" w:rsidP="002B49D4">
            <w:pPr>
              <w:spacing w:after="0" w:line="240" w:lineRule="auto"/>
              <w:jc w:val="center"/>
              <w:rPr>
                <w:sz w:val="20"/>
                <w:szCs w:val="20"/>
              </w:rPr>
            </w:pPr>
            <w:r w:rsidRPr="002B49D4">
              <w:rPr>
                <w:b/>
                <w:bCs/>
                <w:sz w:val="20"/>
                <w:szCs w:val="20"/>
              </w:rPr>
              <w:t>%</w:t>
            </w:r>
          </w:p>
        </w:tc>
      </w:tr>
      <w:tr w:rsidR="002B49D4" w14:paraId="7DB8EA17" w14:textId="77777777" w:rsidTr="002B49D4">
        <w:tc>
          <w:tcPr>
            <w:tcW w:w="1724" w:type="dxa"/>
            <w:tcBorders>
              <w:top w:val="single" w:sz="4" w:space="0" w:color="auto"/>
            </w:tcBorders>
            <w:shd w:val="clear" w:color="auto" w:fill="auto"/>
            <w:vAlign w:val="bottom"/>
          </w:tcPr>
          <w:p w14:paraId="74605BE1" w14:textId="45A94ED3" w:rsidR="00BA4BE9" w:rsidRPr="002B49D4" w:rsidRDefault="00BA4BE9" w:rsidP="002B49D4">
            <w:pPr>
              <w:spacing w:after="0" w:line="240" w:lineRule="auto"/>
              <w:jc w:val="center"/>
              <w:rPr>
                <w:sz w:val="20"/>
                <w:szCs w:val="20"/>
              </w:rPr>
            </w:pPr>
            <w:r w:rsidRPr="002B49D4">
              <w:rPr>
                <w:b/>
                <w:bCs/>
                <w:sz w:val="20"/>
                <w:szCs w:val="20"/>
              </w:rPr>
              <w:t>Gender:</w:t>
            </w:r>
          </w:p>
        </w:tc>
        <w:tc>
          <w:tcPr>
            <w:tcW w:w="1724" w:type="dxa"/>
            <w:tcBorders>
              <w:top w:val="single" w:sz="4" w:space="0" w:color="auto"/>
            </w:tcBorders>
            <w:shd w:val="clear" w:color="auto" w:fill="auto"/>
          </w:tcPr>
          <w:p w14:paraId="2FB1C00C" w14:textId="77777777" w:rsidR="00BA4BE9" w:rsidRPr="002B49D4" w:rsidRDefault="00BA4BE9" w:rsidP="002B49D4">
            <w:pPr>
              <w:spacing w:after="0" w:line="240" w:lineRule="auto"/>
              <w:jc w:val="center"/>
              <w:rPr>
                <w:sz w:val="20"/>
                <w:szCs w:val="20"/>
              </w:rPr>
            </w:pPr>
          </w:p>
        </w:tc>
        <w:tc>
          <w:tcPr>
            <w:tcW w:w="1724" w:type="dxa"/>
            <w:tcBorders>
              <w:top w:val="single" w:sz="4" w:space="0" w:color="auto"/>
            </w:tcBorders>
            <w:shd w:val="clear" w:color="auto" w:fill="auto"/>
          </w:tcPr>
          <w:p w14:paraId="51216932" w14:textId="77777777" w:rsidR="00BA4BE9" w:rsidRPr="002B49D4" w:rsidRDefault="00BA4BE9" w:rsidP="002B49D4">
            <w:pPr>
              <w:spacing w:after="0" w:line="240" w:lineRule="auto"/>
              <w:jc w:val="center"/>
              <w:rPr>
                <w:sz w:val="20"/>
                <w:szCs w:val="20"/>
              </w:rPr>
            </w:pPr>
          </w:p>
        </w:tc>
        <w:tc>
          <w:tcPr>
            <w:tcW w:w="1724" w:type="dxa"/>
            <w:tcBorders>
              <w:top w:val="single" w:sz="4" w:space="0" w:color="auto"/>
            </w:tcBorders>
            <w:shd w:val="clear" w:color="auto" w:fill="auto"/>
            <w:vAlign w:val="bottom"/>
          </w:tcPr>
          <w:p w14:paraId="09CD7F08" w14:textId="61E0A356" w:rsidR="00BA4BE9" w:rsidRPr="002B49D4" w:rsidRDefault="00BA4BE9" w:rsidP="002B49D4">
            <w:pPr>
              <w:spacing w:after="0" w:line="240" w:lineRule="auto"/>
              <w:jc w:val="center"/>
              <w:rPr>
                <w:sz w:val="20"/>
                <w:szCs w:val="20"/>
              </w:rPr>
            </w:pPr>
            <w:r w:rsidRPr="002B49D4">
              <w:rPr>
                <w:b/>
                <w:bCs/>
                <w:sz w:val="20"/>
                <w:szCs w:val="20"/>
              </w:rPr>
              <w:t>Age:</w:t>
            </w:r>
          </w:p>
        </w:tc>
        <w:tc>
          <w:tcPr>
            <w:tcW w:w="1724" w:type="dxa"/>
            <w:tcBorders>
              <w:top w:val="single" w:sz="4" w:space="0" w:color="auto"/>
            </w:tcBorders>
            <w:shd w:val="clear" w:color="auto" w:fill="auto"/>
            <w:vAlign w:val="bottom"/>
          </w:tcPr>
          <w:p w14:paraId="2B8EFD8B" w14:textId="77777777" w:rsidR="00BA4BE9" w:rsidRPr="002B49D4" w:rsidRDefault="00BA4BE9" w:rsidP="002B49D4">
            <w:pPr>
              <w:spacing w:after="0" w:line="240" w:lineRule="auto"/>
              <w:jc w:val="center"/>
              <w:rPr>
                <w:sz w:val="20"/>
                <w:szCs w:val="20"/>
              </w:rPr>
            </w:pPr>
          </w:p>
        </w:tc>
        <w:tc>
          <w:tcPr>
            <w:tcW w:w="1725" w:type="dxa"/>
            <w:tcBorders>
              <w:top w:val="single" w:sz="4" w:space="0" w:color="auto"/>
            </w:tcBorders>
            <w:shd w:val="clear" w:color="auto" w:fill="auto"/>
            <w:vAlign w:val="bottom"/>
          </w:tcPr>
          <w:p w14:paraId="27A19AB5" w14:textId="77777777" w:rsidR="00BA4BE9" w:rsidRPr="002B49D4" w:rsidRDefault="00BA4BE9" w:rsidP="002B49D4">
            <w:pPr>
              <w:spacing w:after="0" w:line="240" w:lineRule="auto"/>
              <w:jc w:val="center"/>
              <w:rPr>
                <w:sz w:val="20"/>
                <w:szCs w:val="20"/>
              </w:rPr>
            </w:pPr>
          </w:p>
        </w:tc>
      </w:tr>
      <w:tr w:rsidR="002B49D4" w14:paraId="1262833B" w14:textId="77777777" w:rsidTr="002B49D4">
        <w:tc>
          <w:tcPr>
            <w:tcW w:w="1724" w:type="dxa"/>
            <w:shd w:val="clear" w:color="auto" w:fill="auto"/>
            <w:vAlign w:val="bottom"/>
          </w:tcPr>
          <w:p w14:paraId="39F97A7A" w14:textId="1C8CECD5" w:rsidR="00BA4BE9" w:rsidRPr="002B49D4" w:rsidRDefault="00BA4BE9" w:rsidP="002B49D4">
            <w:pPr>
              <w:spacing w:after="0" w:line="240" w:lineRule="auto"/>
              <w:jc w:val="center"/>
              <w:rPr>
                <w:sz w:val="20"/>
                <w:szCs w:val="20"/>
              </w:rPr>
            </w:pPr>
            <w:r w:rsidRPr="002B49D4">
              <w:rPr>
                <w:sz w:val="20"/>
                <w:szCs w:val="20"/>
              </w:rPr>
              <w:t>Male</w:t>
            </w:r>
          </w:p>
        </w:tc>
        <w:tc>
          <w:tcPr>
            <w:tcW w:w="1724" w:type="dxa"/>
            <w:shd w:val="clear" w:color="auto" w:fill="auto"/>
            <w:vAlign w:val="bottom"/>
          </w:tcPr>
          <w:p w14:paraId="32DC798E" w14:textId="656673A7" w:rsidR="00BA4BE9" w:rsidRPr="002B49D4" w:rsidRDefault="00BA4BE9" w:rsidP="002B49D4">
            <w:pPr>
              <w:spacing w:after="0" w:line="240" w:lineRule="auto"/>
              <w:jc w:val="center"/>
              <w:rPr>
                <w:sz w:val="20"/>
                <w:szCs w:val="20"/>
              </w:rPr>
            </w:pPr>
            <w:r w:rsidRPr="002B49D4">
              <w:rPr>
                <w:sz w:val="20"/>
                <w:szCs w:val="20"/>
              </w:rPr>
              <w:t>139</w:t>
            </w:r>
          </w:p>
        </w:tc>
        <w:tc>
          <w:tcPr>
            <w:tcW w:w="1724" w:type="dxa"/>
            <w:shd w:val="clear" w:color="auto" w:fill="auto"/>
            <w:vAlign w:val="bottom"/>
          </w:tcPr>
          <w:p w14:paraId="4F301141" w14:textId="266FCA6D" w:rsidR="00BA4BE9" w:rsidRPr="002B49D4" w:rsidRDefault="00BA4BE9" w:rsidP="002B49D4">
            <w:pPr>
              <w:spacing w:after="0" w:line="240" w:lineRule="auto"/>
              <w:jc w:val="center"/>
              <w:rPr>
                <w:sz w:val="20"/>
                <w:szCs w:val="20"/>
              </w:rPr>
            </w:pPr>
            <w:r w:rsidRPr="002B49D4">
              <w:rPr>
                <w:sz w:val="20"/>
                <w:szCs w:val="20"/>
              </w:rPr>
              <w:t>57.9</w:t>
            </w:r>
          </w:p>
        </w:tc>
        <w:tc>
          <w:tcPr>
            <w:tcW w:w="1724" w:type="dxa"/>
            <w:shd w:val="clear" w:color="auto" w:fill="auto"/>
            <w:vAlign w:val="bottom"/>
          </w:tcPr>
          <w:p w14:paraId="0212CE32" w14:textId="01E70AF0" w:rsidR="00BA4BE9" w:rsidRPr="002B49D4" w:rsidRDefault="00BA4BE9" w:rsidP="002B49D4">
            <w:pPr>
              <w:spacing w:after="0" w:line="240" w:lineRule="auto"/>
              <w:jc w:val="center"/>
              <w:rPr>
                <w:sz w:val="20"/>
                <w:szCs w:val="20"/>
              </w:rPr>
            </w:pPr>
            <w:r w:rsidRPr="002B49D4">
              <w:rPr>
                <w:sz w:val="20"/>
                <w:szCs w:val="20"/>
              </w:rPr>
              <w:t>Less than 25</w:t>
            </w:r>
          </w:p>
        </w:tc>
        <w:tc>
          <w:tcPr>
            <w:tcW w:w="1724" w:type="dxa"/>
            <w:shd w:val="clear" w:color="auto" w:fill="auto"/>
            <w:vAlign w:val="bottom"/>
          </w:tcPr>
          <w:p w14:paraId="267D1701" w14:textId="179B53DC" w:rsidR="00BA4BE9" w:rsidRPr="002B49D4" w:rsidRDefault="00BA4BE9" w:rsidP="002B49D4">
            <w:pPr>
              <w:spacing w:after="0" w:line="240" w:lineRule="auto"/>
              <w:jc w:val="center"/>
              <w:rPr>
                <w:sz w:val="20"/>
                <w:szCs w:val="20"/>
              </w:rPr>
            </w:pPr>
            <w:r w:rsidRPr="002B49D4">
              <w:rPr>
                <w:sz w:val="20"/>
                <w:szCs w:val="20"/>
              </w:rPr>
              <w:t>65</w:t>
            </w:r>
          </w:p>
        </w:tc>
        <w:tc>
          <w:tcPr>
            <w:tcW w:w="1725" w:type="dxa"/>
            <w:shd w:val="clear" w:color="auto" w:fill="auto"/>
            <w:vAlign w:val="bottom"/>
          </w:tcPr>
          <w:p w14:paraId="27E835BE" w14:textId="3CECDB04" w:rsidR="00BA4BE9" w:rsidRPr="002B49D4" w:rsidRDefault="00BA4BE9" w:rsidP="002B49D4">
            <w:pPr>
              <w:spacing w:after="0" w:line="240" w:lineRule="auto"/>
              <w:jc w:val="center"/>
              <w:rPr>
                <w:sz w:val="20"/>
                <w:szCs w:val="20"/>
              </w:rPr>
            </w:pPr>
            <w:r w:rsidRPr="002B49D4">
              <w:rPr>
                <w:sz w:val="20"/>
                <w:szCs w:val="20"/>
              </w:rPr>
              <w:t>27.1</w:t>
            </w:r>
          </w:p>
        </w:tc>
      </w:tr>
      <w:tr w:rsidR="002B49D4" w14:paraId="038F8C9C" w14:textId="77777777" w:rsidTr="002B49D4">
        <w:tc>
          <w:tcPr>
            <w:tcW w:w="1724" w:type="dxa"/>
            <w:shd w:val="clear" w:color="auto" w:fill="auto"/>
            <w:vAlign w:val="bottom"/>
          </w:tcPr>
          <w:p w14:paraId="685133AA" w14:textId="29B57BA2" w:rsidR="00BA4BE9" w:rsidRPr="002B49D4" w:rsidRDefault="00BA4BE9" w:rsidP="002B49D4">
            <w:pPr>
              <w:spacing w:after="0" w:line="240" w:lineRule="auto"/>
              <w:jc w:val="center"/>
              <w:rPr>
                <w:sz w:val="20"/>
                <w:szCs w:val="20"/>
              </w:rPr>
            </w:pPr>
            <w:r w:rsidRPr="002B49D4">
              <w:rPr>
                <w:sz w:val="20"/>
                <w:szCs w:val="20"/>
              </w:rPr>
              <w:t>Female</w:t>
            </w:r>
          </w:p>
        </w:tc>
        <w:tc>
          <w:tcPr>
            <w:tcW w:w="1724" w:type="dxa"/>
            <w:shd w:val="clear" w:color="auto" w:fill="auto"/>
            <w:vAlign w:val="bottom"/>
          </w:tcPr>
          <w:p w14:paraId="0E37FAAB" w14:textId="3254CCFF" w:rsidR="00BA4BE9" w:rsidRPr="002B49D4" w:rsidRDefault="00BA4BE9" w:rsidP="002B49D4">
            <w:pPr>
              <w:spacing w:after="0" w:line="240" w:lineRule="auto"/>
              <w:jc w:val="center"/>
              <w:rPr>
                <w:sz w:val="20"/>
                <w:szCs w:val="20"/>
              </w:rPr>
            </w:pPr>
            <w:r w:rsidRPr="002B49D4">
              <w:rPr>
                <w:sz w:val="20"/>
                <w:szCs w:val="20"/>
              </w:rPr>
              <w:t>101</w:t>
            </w:r>
          </w:p>
        </w:tc>
        <w:tc>
          <w:tcPr>
            <w:tcW w:w="1724" w:type="dxa"/>
            <w:shd w:val="clear" w:color="auto" w:fill="auto"/>
            <w:vAlign w:val="bottom"/>
          </w:tcPr>
          <w:p w14:paraId="149839E8" w14:textId="7A490FA0" w:rsidR="00BA4BE9" w:rsidRPr="002B49D4" w:rsidRDefault="00BA4BE9" w:rsidP="002B49D4">
            <w:pPr>
              <w:spacing w:after="0" w:line="240" w:lineRule="auto"/>
              <w:jc w:val="center"/>
              <w:rPr>
                <w:sz w:val="20"/>
                <w:szCs w:val="20"/>
              </w:rPr>
            </w:pPr>
            <w:r w:rsidRPr="002B49D4">
              <w:rPr>
                <w:sz w:val="20"/>
                <w:szCs w:val="20"/>
              </w:rPr>
              <w:t>42.1</w:t>
            </w:r>
          </w:p>
        </w:tc>
        <w:tc>
          <w:tcPr>
            <w:tcW w:w="1724" w:type="dxa"/>
            <w:shd w:val="clear" w:color="auto" w:fill="auto"/>
            <w:vAlign w:val="bottom"/>
          </w:tcPr>
          <w:p w14:paraId="2EF22D35" w14:textId="659B0CDB" w:rsidR="00BA4BE9" w:rsidRPr="002B49D4" w:rsidRDefault="00BA4BE9" w:rsidP="002B49D4">
            <w:pPr>
              <w:spacing w:after="0" w:line="240" w:lineRule="auto"/>
              <w:jc w:val="center"/>
              <w:rPr>
                <w:sz w:val="20"/>
                <w:szCs w:val="20"/>
              </w:rPr>
            </w:pPr>
            <w:r w:rsidRPr="002B49D4">
              <w:rPr>
                <w:sz w:val="20"/>
                <w:szCs w:val="20"/>
              </w:rPr>
              <w:t>26 to 35</w:t>
            </w:r>
          </w:p>
        </w:tc>
        <w:tc>
          <w:tcPr>
            <w:tcW w:w="1724" w:type="dxa"/>
            <w:shd w:val="clear" w:color="auto" w:fill="auto"/>
            <w:vAlign w:val="bottom"/>
          </w:tcPr>
          <w:p w14:paraId="1BBD1F60" w14:textId="084916B0" w:rsidR="00BA4BE9" w:rsidRPr="002B49D4" w:rsidRDefault="00BA4BE9" w:rsidP="002B49D4">
            <w:pPr>
              <w:spacing w:after="0" w:line="240" w:lineRule="auto"/>
              <w:jc w:val="center"/>
              <w:rPr>
                <w:sz w:val="20"/>
                <w:szCs w:val="20"/>
              </w:rPr>
            </w:pPr>
            <w:r w:rsidRPr="002B49D4">
              <w:rPr>
                <w:sz w:val="20"/>
                <w:szCs w:val="20"/>
              </w:rPr>
              <w:t>72</w:t>
            </w:r>
          </w:p>
        </w:tc>
        <w:tc>
          <w:tcPr>
            <w:tcW w:w="1725" w:type="dxa"/>
            <w:shd w:val="clear" w:color="auto" w:fill="auto"/>
            <w:vAlign w:val="bottom"/>
          </w:tcPr>
          <w:p w14:paraId="4169668A" w14:textId="76F80B57" w:rsidR="00BA4BE9" w:rsidRPr="002B49D4" w:rsidRDefault="00BA4BE9" w:rsidP="002B49D4">
            <w:pPr>
              <w:spacing w:after="0" w:line="240" w:lineRule="auto"/>
              <w:jc w:val="center"/>
              <w:rPr>
                <w:sz w:val="20"/>
                <w:szCs w:val="20"/>
              </w:rPr>
            </w:pPr>
            <w:r w:rsidRPr="002B49D4">
              <w:rPr>
                <w:sz w:val="20"/>
                <w:szCs w:val="20"/>
              </w:rPr>
              <w:t>30</w:t>
            </w:r>
          </w:p>
        </w:tc>
      </w:tr>
      <w:tr w:rsidR="002B49D4" w14:paraId="2AD7E272" w14:textId="77777777" w:rsidTr="002B49D4">
        <w:tc>
          <w:tcPr>
            <w:tcW w:w="1724" w:type="dxa"/>
            <w:shd w:val="clear" w:color="auto" w:fill="auto"/>
            <w:vAlign w:val="bottom"/>
          </w:tcPr>
          <w:p w14:paraId="3511F34C" w14:textId="5FE967C8" w:rsidR="00BA4BE9" w:rsidRPr="002B49D4" w:rsidRDefault="00BA4BE9" w:rsidP="002B49D4">
            <w:pPr>
              <w:spacing w:after="0" w:line="240" w:lineRule="auto"/>
              <w:jc w:val="center"/>
              <w:rPr>
                <w:sz w:val="20"/>
                <w:szCs w:val="20"/>
              </w:rPr>
            </w:pPr>
            <w:r w:rsidRPr="002B49D4">
              <w:rPr>
                <w:b/>
                <w:bCs/>
                <w:sz w:val="20"/>
                <w:szCs w:val="20"/>
              </w:rPr>
              <w:t>Total</w:t>
            </w:r>
          </w:p>
        </w:tc>
        <w:tc>
          <w:tcPr>
            <w:tcW w:w="1724" w:type="dxa"/>
            <w:shd w:val="clear" w:color="auto" w:fill="auto"/>
            <w:vAlign w:val="bottom"/>
          </w:tcPr>
          <w:p w14:paraId="0CAF6E0C" w14:textId="183F4AD6" w:rsidR="00BA4BE9" w:rsidRPr="002B49D4" w:rsidRDefault="00BA4BE9" w:rsidP="002B49D4">
            <w:pPr>
              <w:spacing w:after="0" w:line="240" w:lineRule="auto"/>
              <w:jc w:val="center"/>
              <w:rPr>
                <w:sz w:val="20"/>
                <w:szCs w:val="20"/>
              </w:rPr>
            </w:pPr>
            <w:r w:rsidRPr="002B49D4">
              <w:rPr>
                <w:b/>
                <w:bCs/>
                <w:sz w:val="20"/>
                <w:szCs w:val="20"/>
              </w:rPr>
              <w:t>240</w:t>
            </w:r>
          </w:p>
        </w:tc>
        <w:tc>
          <w:tcPr>
            <w:tcW w:w="1724" w:type="dxa"/>
            <w:shd w:val="clear" w:color="auto" w:fill="auto"/>
            <w:vAlign w:val="bottom"/>
          </w:tcPr>
          <w:p w14:paraId="411D881E" w14:textId="4F26ABCA" w:rsidR="00BA4BE9" w:rsidRPr="002B49D4" w:rsidRDefault="00BA4BE9" w:rsidP="002B49D4">
            <w:pPr>
              <w:spacing w:after="0" w:line="240" w:lineRule="auto"/>
              <w:jc w:val="center"/>
              <w:rPr>
                <w:sz w:val="20"/>
                <w:szCs w:val="20"/>
              </w:rPr>
            </w:pPr>
            <w:r w:rsidRPr="002B49D4">
              <w:rPr>
                <w:b/>
                <w:bCs/>
                <w:sz w:val="20"/>
                <w:szCs w:val="20"/>
              </w:rPr>
              <w:t>100</w:t>
            </w:r>
          </w:p>
        </w:tc>
        <w:tc>
          <w:tcPr>
            <w:tcW w:w="1724" w:type="dxa"/>
            <w:shd w:val="clear" w:color="auto" w:fill="auto"/>
            <w:vAlign w:val="bottom"/>
          </w:tcPr>
          <w:p w14:paraId="24FBC4DC" w14:textId="24D80BA8" w:rsidR="00BA4BE9" w:rsidRPr="002B49D4" w:rsidRDefault="00BA4BE9" w:rsidP="002B49D4">
            <w:pPr>
              <w:spacing w:after="0" w:line="240" w:lineRule="auto"/>
              <w:jc w:val="center"/>
              <w:rPr>
                <w:sz w:val="20"/>
                <w:szCs w:val="20"/>
              </w:rPr>
            </w:pPr>
            <w:r w:rsidRPr="002B49D4">
              <w:rPr>
                <w:sz w:val="20"/>
                <w:szCs w:val="20"/>
              </w:rPr>
              <w:t>36 to 45</w:t>
            </w:r>
          </w:p>
        </w:tc>
        <w:tc>
          <w:tcPr>
            <w:tcW w:w="1724" w:type="dxa"/>
            <w:shd w:val="clear" w:color="auto" w:fill="auto"/>
            <w:vAlign w:val="bottom"/>
          </w:tcPr>
          <w:p w14:paraId="69BBFD38" w14:textId="0F43FA09" w:rsidR="00BA4BE9" w:rsidRPr="002B49D4" w:rsidRDefault="00BA4BE9" w:rsidP="002B49D4">
            <w:pPr>
              <w:spacing w:after="0" w:line="240" w:lineRule="auto"/>
              <w:jc w:val="center"/>
              <w:rPr>
                <w:sz w:val="20"/>
                <w:szCs w:val="20"/>
              </w:rPr>
            </w:pPr>
            <w:r w:rsidRPr="002B49D4">
              <w:rPr>
                <w:sz w:val="20"/>
                <w:szCs w:val="20"/>
              </w:rPr>
              <w:t>84</w:t>
            </w:r>
          </w:p>
        </w:tc>
        <w:tc>
          <w:tcPr>
            <w:tcW w:w="1725" w:type="dxa"/>
            <w:shd w:val="clear" w:color="auto" w:fill="auto"/>
            <w:vAlign w:val="bottom"/>
          </w:tcPr>
          <w:p w14:paraId="6BEE2A41" w14:textId="3DDBE21E" w:rsidR="00BA4BE9" w:rsidRPr="002B49D4" w:rsidRDefault="00BA4BE9" w:rsidP="002B49D4">
            <w:pPr>
              <w:spacing w:after="0" w:line="240" w:lineRule="auto"/>
              <w:jc w:val="center"/>
              <w:rPr>
                <w:sz w:val="20"/>
                <w:szCs w:val="20"/>
              </w:rPr>
            </w:pPr>
            <w:r w:rsidRPr="002B49D4">
              <w:rPr>
                <w:sz w:val="20"/>
                <w:szCs w:val="20"/>
              </w:rPr>
              <w:t>35</w:t>
            </w:r>
          </w:p>
        </w:tc>
      </w:tr>
      <w:tr w:rsidR="002B49D4" w14:paraId="722D9ED8" w14:textId="77777777" w:rsidTr="002B49D4">
        <w:tc>
          <w:tcPr>
            <w:tcW w:w="1724" w:type="dxa"/>
            <w:shd w:val="clear" w:color="auto" w:fill="auto"/>
            <w:vAlign w:val="bottom"/>
          </w:tcPr>
          <w:p w14:paraId="3716F95F" w14:textId="650DEF8F" w:rsidR="00BA4BE9" w:rsidRPr="002B49D4" w:rsidRDefault="00BA4BE9" w:rsidP="002B49D4">
            <w:pPr>
              <w:spacing w:after="0" w:line="240" w:lineRule="auto"/>
              <w:jc w:val="center"/>
              <w:rPr>
                <w:sz w:val="20"/>
                <w:szCs w:val="20"/>
              </w:rPr>
            </w:pPr>
            <w:r w:rsidRPr="002B49D4">
              <w:rPr>
                <w:b/>
                <w:bCs/>
                <w:sz w:val="20"/>
                <w:szCs w:val="20"/>
              </w:rPr>
              <w:t>Education:</w:t>
            </w:r>
          </w:p>
        </w:tc>
        <w:tc>
          <w:tcPr>
            <w:tcW w:w="1724" w:type="dxa"/>
            <w:shd w:val="clear" w:color="auto" w:fill="auto"/>
            <w:vAlign w:val="bottom"/>
          </w:tcPr>
          <w:p w14:paraId="07696FB5" w14:textId="77777777" w:rsidR="00BA4BE9" w:rsidRPr="002B49D4" w:rsidRDefault="00BA4BE9" w:rsidP="002B49D4">
            <w:pPr>
              <w:spacing w:after="0" w:line="240" w:lineRule="auto"/>
              <w:jc w:val="center"/>
              <w:rPr>
                <w:sz w:val="20"/>
                <w:szCs w:val="20"/>
              </w:rPr>
            </w:pPr>
          </w:p>
        </w:tc>
        <w:tc>
          <w:tcPr>
            <w:tcW w:w="1724" w:type="dxa"/>
            <w:shd w:val="clear" w:color="auto" w:fill="auto"/>
            <w:vAlign w:val="bottom"/>
          </w:tcPr>
          <w:p w14:paraId="72EF1D16" w14:textId="77777777" w:rsidR="00BA4BE9" w:rsidRPr="002B49D4" w:rsidRDefault="00BA4BE9" w:rsidP="002B49D4">
            <w:pPr>
              <w:spacing w:after="0" w:line="240" w:lineRule="auto"/>
              <w:jc w:val="center"/>
              <w:rPr>
                <w:sz w:val="20"/>
                <w:szCs w:val="20"/>
              </w:rPr>
            </w:pPr>
          </w:p>
        </w:tc>
        <w:tc>
          <w:tcPr>
            <w:tcW w:w="1724" w:type="dxa"/>
            <w:shd w:val="clear" w:color="auto" w:fill="auto"/>
            <w:vAlign w:val="bottom"/>
          </w:tcPr>
          <w:p w14:paraId="5A3BC6E2" w14:textId="377E713D" w:rsidR="00BA4BE9" w:rsidRPr="002B49D4" w:rsidRDefault="00BA4BE9" w:rsidP="002B49D4">
            <w:pPr>
              <w:spacing w:after="0" w:line="240" w:lineRule="auto"/>
              <w:jc w:val="center"/>
              <w:rPr>
                <w:sz w:val="20"/>
                <w:szCs w:val="20"/>
              </w:rPr>
            </w:pPr>
            <w:r w:rsidRPr="002B49D4">
              <w:rPr>
                <w:sz w:val="20"/>
                <w:szCs w:val="20"/>
              </w:rPr>
              <w:t>More than 45</w:t>
            </w:r>
          </w:p>
        </w:tc>
        <w:tc>
          <w:tcPr>
            <w:tcW w:w="1724" w:type="dxa"/>
            <w:shd w:val="clear" w:color="auto" w:fill="auto"/>
            <w:vAlign w:val="bottom"/>
          </w:tcPr>
          <w:p w14:paraId="4249A98A" w14:textId="08CB10EC" w:rsidR="00BA4BE9" w:rsidRPr="002B49D4" w:rsidRDefault="00BA4BE9" w:rsidP="002B49D4">
            <w:pPr>
              <w:spacing w:after="0" w:line="240" w:lineRule="auto"/>
              <w:jc w:val="center"/>
              <w:rPr>
                <w:sz w:val="20"/>
                <w:szCs w:val="20"/>
              </w:rPr>
            </w:pPr>
            <w:r w:rsidRPr="002B49D4">
              <w:rPr>
                <w:sz w:val="20"/>
                <w:szCs w:val="20"/>
              </w:rPr>
              <w:t>19</w:t>
            </w:r>
          </w:p>
        </w:tc>
        <w:tc>
          <w:tcPr>
            <w:tcW w:w="1725" w:type="dxa"/>
            <w:shd w:val="clear" w:color="auto" w:fill="auto"/>
            <w:vAlign w:val="bottom"/>
          </w:tcPr>
          <w:p w14:paraId="1EF9DA04" w14:textId="7154E674" w:rsidR="00BA4BE9" w:rsidRPr="002B49D4" w:rsidRDefault="00BA4BE9" w:rsidP="002B49D4">
            <w:pPr>
              <w:spacing w:after="0" w:line="240" w:lineRule="auto"/>
              <w:jc w:val="center"/>
              <w:rPr>
                <w:sz w:val="20"/>
                <w:szCs w:val="20"/>
              </w:rPr>
            </w:pPr>
            <w:r w:rsidRPr="002B49D4">
              <w:rPr>
                <w:sz w:val="20"/>
                <w:szCs w:val="20"/>
              </w:rPr>
              <w:t>7.9</w:t>
            </w:r>
          </w:p>
        </w:tc>
      </w:tr>
      <w:tr w:rsidR="002B49D4" w14:paraId="45856A94" w14:textId="77777777" w:rsidTr="002B49D4">
        <w:tc>
          <w:tcPr>
            <w:tcW w:w="1724" w:type="dxa"/>
            <w:shd w:val="clear" w:color="auto" w:fill="auto"/>
            <w:vAlign w:val="bottom"/>
          </w:tcPr>
          <w:p w14:paraId="5B33CB0A" w14:textId="62AC1B89" w:rsidR="00BA4BE9" w:rsidRPr="002B49D4" w:rsidRDefault="00BA4BE9" w:rsidP="002B49D4">
            <w:pPr>
              <w:spacing w:after="0" w:line="240" w:lineRule="auto"/>
              <w:jc w:val="center"/>
              <w:rPr>
                <w:sz w:val="20"/>
                <w:szCs w:val="20"/>
              </w:rPr>
            </w:pPr>
            <w:r w:rsidRPr="002B49D4">
              <w:rPr>
                <w:sz w:val="20"/>
                <w:szCs w:val="20"/>
              </w:rPr>
              <w:t>Matriculation</w:t>
            </w:r>
          </w:p>
        </w:tc>
        <w:tc>
          <w:tcPr>
            <w:tcW w:w="1724" w:type="dxa"/>
            <w:shd w:val="clear" w:color="auto" w:fill="auto"/>
            <w:vAlign w:val="bottom"/>
          </w:tcPr>
          <w:p w14:paraId="6D012129" w14:textId="7FA947C2" w:rsidR="00BA4BE9" w:rsidRPr="002B49D4" w:rsidRDefault="00BA4BE9" w:rsidP="002B49D4">
            <w:pPr>
              <w:spacing w:after="0" w:line="240" w:lineRule="auto"/>
              <w:jc w:val="center"/>
              <w:rPr>
                <w:sz w:val="20"/>
                <w:szCs w:val="20"/>
              </w:rPr>
            </w:pPr>
            <w:r w:rsidRPr="002B49D4">
              <w:rPr>
                <w:sz w:val="20"/>
                <w:szCs w:val="20"/>
              </w:rPr>
              <w:t>17</w:t>
            </w:r>
          </w:p>
        </w:tc>
        <w:tc>
          <w:tcPr>
            <w:tcW w:w="1724" w:type="dxa"/>
            <w:shd w:val="clear" w:color="auto" w:fill="auto"/>
            <w:vAlign w:val="bottom"/>
          </w:tcPr>
          <w:p w14:paraId="5F621CA0" w14:textId="1C32DA62" w:rsidR="00BA4BE9" w:rsidRPr="002B49D4" w:rsidRDefault="00BA4BE9" w:rsidP="002B49D4">
            <w:pPr>
              <w:spacing w:after="0" w:line="240" w:lineRule="auto"/>
              <w:jc w:val="center"/>
              <w:rPr>
                <w:sz w:val="20"/>
                <w:szCs w:val="20"/>
              </w:rPr>
            </w:pPr>
            <w:r w:rsidRPr="002B49D4">
              <w:rPr>
                <w:sz w:val="20"/>
                <w:szCs w:val="20"/>
              </w:rPr>
              <w:t>7.1</w:t>
            </w:r>
          </w:p>
        </w:tc>
        <w:tc>
          <w:tcPr>
            <w:tcW w:w="1724" w:type="dxa"/>
            <w:shd w:val="clear" w:color="auto" w:fill="auto"/>
            <w:vAlign w:val="bottom"/>
          </w:tcPr>
          <w:p w14:paraId="51F11458" w14:textId="6119DD3C" w:rsidR="00BA4BE9" w:rsidRPr="002B49D4" w:rsidRDefault="00BA4BE9" w:rsidP="002B49D4">
            <w:pPr>
              <w:spacing w:after="0" w:line="240" w:lineRule="auto"/>
              <w:jc w:val="center"/>
              <w:rPr>
                <w:sz w:val="20"/>
                <w:szCs w:val="20"/>
              </w:rPr>
            </w:pPr>
            <w:r w:rsidRPr="002B49D4">
              <w:rPr>
                <w:b/>
                <w:bCs/>
                <w:sz w:val="20"/>
                <w:szCs w:val="20"/>
              </w:rPr>
              <w:t>Total</w:t>
            </w:r>
          </w:p>
        </w:tc>
        <w:tc>
          <w:tcPr>
            <w:tcW w:w="1724" w:type="dxa"/>
            <w:shd w:val="clear" w:color="auto" w:fill="auto"/>
            <w:vAlign w:val="bottom"/>
          </w:tcPr>
          <w:p w14:paraId="28A6553A" w14:textId="3849329F" w:rsidR="00BA4BE9" w:rsidRPr="002B49D4" w:rsidRDefault="00BA4BE9" w:rsidP="002B49D4">
            <w:pPr>
              <w:spacing w:after="0" w:line="240" w:lineRule="auto"/>
              <w:jc w:val="center"/>
              <w:rPr>
                <w:sz w:val="20"/>
                <w:szCs w:val="20"/>
              </w:rPr>
            </w:pPr>
            <w:r w:rsidRPr="002B49D4">
              <w:rPr>
                <w:b/>
                <w:bCs/>
                <w:sz w:val="20"/>
                <w:szCs w:val="20"/>
              </w:rPr>
              <w:t>240</w:t>
            </w:r>
          </w:p>
        </w:tc>
        <w:tc>
          <w:tcPr>
            <w:tcW w:w="1725" w:type="dxa"/>
            <w:shd w:val="clear" w:color="auto" w:fill="auto"/>
            <w:vAlign w:val="bottom"/>
          </w:tcPr>
          <w:p w14:paraId="10206312" w14:textId="6B27BFD9" w:rsidR="00BA4BE9" w:rsidRPr="002B49D4" w:rsidRDefault="00BA4BE9" w:rsidP="002B49D4">
            <w:pPr>
              <w:spacing w:after="0" w:line="240" w:lineRule="auto"/>
              <w:jc w:val="center"/>
              <w:rPr>
                <w:sz w:val="20"/>
                <w:szCs w:val="20"/>
              </w:rPr>
            </w:pPr>
            <w:r w:rsidRPr="002B49D4">
              <w:rPr>
                <w:b/>
                <w:bCs/>
                <w:sz w:val="20"/>
                <w:szCs w:val="20"/>
              </w:rPr>
              <w:t>100</w:t>
            </w:r>
          </w:p>
        </w:tc>
      </w:tr>
      <w:tr w:rsidR="002B49D4" w14:paraId="6DAA4DD0" w14:textId="77777777" w:rsidTr="002B49D4">
        <w:tc>
          <w:tcPr>
            <w:tcW w:w="1724" w:type="dxa"/>
            <w:shd w:val="clear" w:color="auto" w:fill="auto"/>
            <w:vAlign w:val="bottom"/>
          </w:tcPr>
          <w:p w14:paraId="2A567CB8" w14:textId="65F0B3A5" w:rsidR="00BA4BE9" w:rsidRPr="002B49D4" w:rsidRDefault="00BA4BE9" w:rsidP="002B49D4">
            <w:pPr>
              <w:spacing w:after="0" w:line="240" w:lineRule="auto"/>
              <w:jc w:val="center"/>
              <w:rPr>
                <w:sz w:val="20"/>
                <w:szCs w:val="20"/>
              </w:rPr>
            </w:pPr>
            <w:r w:rsidRPr="002B49D4">
              <w:rPr>
                <w:sz w:val="20"/>
                <w:szCs w:val="20"/>
              </w:rPr>
              <w:t>Intermediate</w:t>
            </w:r>
          </w:p>
        </w:tc>
        <w:tc>
          <w:tcPr>
            <w:tcW w:w="1724" w:type="dxa"/>
            <w:shd w:val="clear" w:color="auto" w:fill="auto"/>
            <w:vAlign w:val="bottom"/>
          </w:tcPr>
          <w:p w14:paraId="52FB6739" w14:textId="5E28BD2C" w:rsidR="00BA4BE9" w:rsidRPr="002B49D4" w:rsidRDefault="00BA4BE9" w:rsidP="002B49D4">
            <w:pPr>
              <w:spacing w:after="0" w:line="240" w:lineRule="auto"/>
              <w:jc w:val="center"/>
              <w:rPr>
                <w:sz w:val="20"/>
                <w:szCs w:val="20"/>
              </w:rPr>
            </w:pPr>
            <w:r w:rsidRPr="002B49D4">
              <w:rPr>
                <w:sz w:val="20"/>
                <w:szCs w:val="20"/>
              </w:rPr>
              <w:t>23</w:t>
            </w:r>
          </w:p>
        </w:tc>
        <w:tc>
          <w:tcPr>
            <w:tcW w:w="1724" w:type="dxa"/>
            <w:shd w:val="clear" w:color="auto" w:fill="auto"/>
            <w:vAlign w:val="bottom"/>
          </w:tcPr>
          <w:p w14:paraId="11B3E162" w14:textId="5BEE20F7" w:rsidR="00BA4BE9" w:rsidRPr="002B49D4" w:rsidRDefault="00BA4BE9" w:rsidP="002B49D4">
            <w:pPr>
              <w:spacing w:after="0" w:line="240" w:lineRule="auto"/>
              <w:jc w:val="center"/>
              <w:rPr>
                <w:sz w:val="20"/>
                <w:szCs w:val="20"/>
              </w:rPr>
            </w:pPr>
            <w:r w:rsidRPr="002B49D4">
              <w:rPr>
                <w:sz w:val="20"/>
                <w:szCs w:val="20"/>
              </w:rPr>
              <w:t>9.6</w:t>
            </w:r>
          </w:p>
        </w:tc>
        <w:tc>
          <w:tcPr>
            <w:tcW w:w="1724" w:type="dxa"/>
            <w:shd w:val="clear" w:color="auto" w:fill="auto"/>
          </w:tcPr>
          <w:p w14:paraId="3CDA20C1" w14:textId="77777777" w:rsidR="00BA4BE9" w:rsidRPr="002B49D4" w:rsidRDefault="00BA4BE9" w:rsidP="002B49D4">
            <w:pPr>
              <w:spacing w:after="0" w:line="240" w:lineRule="auto"/>
              <w:jc w:val="center"/>
              <w:rPr>
                <w:sz w:val="20"/>
                <w:szCs w:val="20"/>
              </w:rPr>
            </w:pPr>
          </w:p>
        </w:tc>
        <w:tc>
          <w:tcPr>
            <w:tcW w:w="1724" w:type="dxa"/>
            <w:shd w:val="clear" w:color="auto" w:fill="auto"/>
          </w:tcPr>
          <w:p w14:paraId="17274FC7" w14:textId="77777777" w:rsidR="00BA4BE9" w:rsidRPr="002B49D4" w:rsidRDefault="00BA4BE9" w:rsidP="002B49D4">
            <w:pPr>
              <w:spacing w:after="0" w:line="240" w:lineRule="auto"/>
              <w:jc w:val="center"/>
              <w:rPr>
                <w:sz w:val="20"/>
                <w:szCs w:val="20"/>
              </w:rPr>
            </w:pPr>
          </w:p>
        </w:tc>
        <w:tc>
          <w:tcPr>
            <w:tcW w:w="1725" w:type="dxa"/>
            <w:shd w:val="clear" w:color="auto" w:fill="auto"/>
          </w:tcPr>
          <w:p w14:paraId="5A2C3997" w14:textId="77777777" w:rsidR="00BA4BE9" w:rsidRPr="002B49D4" w:rsidRDefault="00BA4BE9" w:rsidP="002B49D4">
            <w:pPr>
              <w:spacing w:after="0" w:line="240" w:lineRule="auto"/>
              <w:jc w:val="center"/>
              <w:rPr>
                <w:sz w:val="20"/>
                <w:szCs w:val="20"/>
              </w:rPr>
            </w:pPr>
          </w:p>
        </w:tc>
      </w:tr>
      <w:tr w:rsidR="002B49D4" w14:paraId="276EF7E9" w14:textId="77777777" w:rsidTr="002B49D4">
        <w:tc>
          <w:tcPr>
            <w:tcW w:w="1724" w:type="dxa"/>
            <w:shd w:val="clear" w:color="auto" w:fill="auto"/>
            <w:vAlign w:val="bottom"/>
          </w:tcPr>
          <w:p w14:paraId="2C9C02B9" w14:textId="597397B8" w:rsidR="00BA4BE9" w:rsidRPr="002B49D4" w:rsidRDefault="00BA4BE9" w:rsidP="002B49D4">
            <w:pPr>
              <w:spacing w:after="0" w:line="240" w:lineRule="auto"/>
              <w:jc w:val="center"/>
              <w:rPr>
                <w:sz w:val="20"/>
                <w:szCs w:val="20"/>
              </w:rPr>
            </w:pPr>
            <w:r w:rsidRPr="002B49D4">
              <w:rPr>
                <w:sz w:val="20"/>
                <w:szCs w:val="20"/>
              </w:rPr>
              <w:t>Under-Graduate</w:t>
            </w:r>
          </w:p>
        </w:tc>
        <w:tc>
          <w:tcPr>
            <w:tcW w:w="1724" w:type="dxa"/>
            <w:shd w:val="clear" w:color="auto" w:fill="auto"/>
            <w:vAlign w:val="bottom"/>
          </w:tcPr>
          <w:p w14:paraId="78214BC5" w14:textId="42904E94" w:rsidR="00BA4BE9" w:rsidRPr="002B49D4" w:rsidRDefault="00BA4BE9" w:rsidP="002B49D4">
            <w:pPr>
              <w:spacing w:after="0" w:line="240" w:lineRule="auto"/>
              <w:jc w:val="center"/>
              <w:rPr>
                <w:sz w:val="20"/>
                <w:szCs w:val="20"/>
              </w:rPr>
            </w:pPr>
            <w:r w:rsidRPr="002B49D4">
              <w:rPr>
                <w:sz w:val="20"/>
                <w:szCs w:val="20"/>
              </w:rPr>
              <w:t>80</w:t>
            </w:r>
          </w:p>
        </w:tc>
        <w:tc>
          <w:tcPr>
            <w:tcW w:w="1724" w:type="dxa"/>
            <w:shd w:val="clear" w:color="auto" w:fill="auto"/>
            <w:vAlign w:val="bottom"/>
          </w:tcPr>
          <w:p w14:paraId="3064B93B" w14:textId="35234A59" w:rsidR="00BA4BE9" w:rsidRPr="002B49D4" w:rsidRDefault="00BA4BE9" w:rsidP="002B49D4">
            <w:pPr>
              <w:spacing w:after="0" w:line="240" w:lineRule="auto"/>
              <w:jc w:val="center"/>
              <w:rPr>
                <w:sz w:val="20"/>
                <w:szCs w:val="20"/>
              </w:rPr>
            </w:pPr>
            <w:r w:rsidRPr="002B49D4">
              <w:rPr>
                <w:sz w:val="20"/>
                <w:szCs w:val="20"/>
              </w:rPr>
              <w:t>33.3</w:t>
            </w:r>
          </w:p>
        </w:tc>
        <w:tc>
          <w:tcPr>
            <w:tcW w:w="1724" w:type="dxa"/>
            <w:shd w:val="clear" w:color="auto" w:fill="auto"/>
            <w:vAlign w:val="bottom"/>
          </w:tcPr>
          <w:p w14:paraId="2322DF3B" w14:textId="34214B4D" w:rsidR="00BA4BE9" w:rsidRPr="002B49D4" w:rsidRDefault="00BA4BE9" w:rsidP="002B49D4">
            <w:pPr>
              <w:spacing w:after="0" w:line="240" w:lineRule="auto"/>
              <w:jc w:val="center"/>
              <w:rPr>
                <w:sz w:val="20"/>
                <w:szCs w:val="20"/>
              </w:rPr>
            </w:pPr>
            <w:r w:rsidRPr="002B49D4">
              <w:rPr>
                <w:b/>
                <w:bCs/>
                <w:sz w:val="20"/>
                <w:szCs w:val="20"/>
              </w:rPr>
              <w:t>Profession:</w:t>
            </w:r>
          </w:p>
        </w:tc>
        <w:tc>
          <w:tcPr>
            <w:tcW w:w="1724" w:type="dxa"/>
            <w:shd w:val="clear" w:color="auto" w:fill="auto"/>
            <w:vAlign w:val="bottom"/>
          </w:tcPr>
          <w:p w14:paraId="0BDAA943" w14:textId="77777777" w:rsidR="00BA4BE9" w:rsidRPr="002B49D4" w:rsidRDefault="00BA4BE9" w:rsidP="002B49D4">
            <w:pPr>
              <w:spacing w:after="0" w:line="240" w:lineRule="auto"/>
              <w:jc w:val="center"/>
              <w:rPr>
                <w:sz w:val="20"/>
                <w:szCs w:val="20"/>
              </w:rPr>
            </w:pPr>
          </w:p>
        </w:tc>
        <w:tc>
          <w:tcPr>
            <w:tcW w:w="1725" w:type="dxa"/>
            <w:shd w:val="clear" w:color="auto" w:fill="auto"/>
            <w:vAlign w:val="bottom"/>
          </w:tcPr>
          <w:p w14:paraId="5E9C261C" w14:textId="77777777" w:rsidR="00BA4BE9" w:rsidRPr="002B49D4" w:rsidRDefault="00BA4BE9" w:rsidP="002B49D4">
            <w:pPr>
              <w:spacing w:after="0" w:line="240" w:lineRule="auto"/>
              <w:jc w:val="center"/>
              <w:rPr>
                <w:sz w:val="20"/>
                <w:szCs w:val="20"/>
              </w:rPr>
            </w:pPr>
          </w:p>
        </w:tc>
      </w:tr>
      <w:tr w:rsidR="002B49D4" w14:paraId="653F0921" w14:textId="77777777" w:rsidTr="002B49D4">
        <w:tc>
          <w:tcPr>
            <w:tcW w:w="1724" w:type="dxa"/>
            <w:shd w:val="clear" w:color="auto" w:fill="auto"/>
            <w:vAlign w:val="bottom"/>
          </w:tcPr>
          <w:p w14:paraId="023D072B" w14:textId="25E81638" w:rsidR="00BA4BE9" w:rsidRPr="002B49D4" w:rsidRDefault="00BA4BE9" w:rsidP="002B49D4">
            <w:pPr>
              <w:spacing w:after="0" w:line="240" w:lineRule="auto"/>
              <w:jc w:val="center"/>
              <w:rPr>
                <w:sz w:val="20"/>
                <w:szCs w:val="20"/>
              </w:rPr>
            </w:pPr>
            <w:r w:rsidRPr="002B49D4">
              <w:rPr>
                <w:sz w:val="20"/>
                <w:szCs w:val="20"/>
              </w:rPr>
              <w:t>Masters</w:t>
            </w:r>
          </w:p>
        </w:tc>
        <w:tc>
          <w:tcPr>
            <w:tcW w:w="1724" w:type="dxa"/>
            <w:shd w:val="clear" w:color="auto" w:fill="auto"/>
            <w:vAlign w:val="bottom"/>
          </w:tcPr>
          <w:p w14:paraId="7A48B51D" w14:textId="53A92CAC" w:rsidR="00BA4BE9" w:rsidRPr="002B49D4" w:rsidRDefault="00BA4BE9" w:rsidP="002B49D4">
            <w:pPr>
              <w:spacing w:after="0" w:line="240" w:lineRule="auto"/>
              <w:jc w:val="center"/>
              <w:rPr>
                <w:sz w:val="20"/>
                <w:szCs w:val="20"/>
              </w:rPr>
            </w:pPr>
            <w:r w:rsidRPr="002B49D4">
              <w:rPr>
                <w:sz w:val="20"/>
                <w:szCs w:val="20"/>
              </w:rPr>
              <w:t>96</w:t>
            </w:r>
          </w:p>
        </w:tc>
        <w:tc>
          <w:tcPr>
            <w:tcW w:w="1724" w:type="dxa"/>
            <w:shd w:val="clear" w:color="auto" w:fill="auto"/>
            <w:vAlign w:val="bottom"/>
          </w:tcPr>
          <w:p w14:paraId="52591817" w14:textId="1C23A385" w:rsidR="00BA4BE9" w:rsidRPr="002B49D4" w:rsidRDefault="00BA4BE9" w:rsidP="002B49D4">
            <w:pPr>
              <w:spacing w:after="0" w:line="240" w:lineRule="auto"/>
              <w:jc w:val="center"/>
              <w:rPr>
                <w:sz w:val="20"/>
                <w:szCs w:val="20"/>
              </w:rPr>
            </w:pPr>
            <w:r w:rsidRPr="002B49D4">
              <w:rPr>
                <w:sz w:val="20"/>
                <w:szCs w:val="20"/>
              </w:rPr>
              <w:t>40</w:t>
            </w:r>
          </w:p>
        </w:tc>
        <w:tc>
          <w:tcPr>
            <w:tcW w:w="1724" w:type="dxa"/>
            <w:shd w:val="clear" w:color="auto" w:fill="auto"/>
            <w:vAlign w:val="bottom"/>
          </w:tcPr>
          <w:p w14:paraId="3EFE132E" w14:textId="7C52A727" w:rsidR="00BA4BE9" w:rsidRPr="002B49D4" w:rsidRDefault="00BA4BE9" w:rsidP="002B49D4">
            <w:pPr>
              <w:spacing w:after="0" w:line="240" w:lineRule="auto"/>
              <w:jc w:val="center"/>
              <w:rPr>
                <w:sz w:val="20"/>
                <w:szCs w:val="20"/>
              </w:rPr>
            </w:pPr>
            <w:r w:rsidRPr="002B49D4">
              <w:rPr>
                <w:sz w:val="20"/>
                <w:szCs w:val="20"/>
              </w:rPr>
              <w:t>Employee</w:t>
            </w:r>
          </w:p>
        </w:tc>
        <w:tc>
          <w:tcPr>
            <w:tcW w:w="1724" w:type="dxa"/>
            <w:shd w:val="clear" w:color="auto" w:fill="auto"/>
            <w:vAlign w:val="bottom"/>
          </w:tcPr>
          <w:p w14:paraId="3432A9F9" w14:textId="09E38FBD" w:rsidR="00BA4BE9" w:rsidRPr="002B49D4" w:rsidRDefault="00BA4BE9" w:rsidP="002B49D4">
            <w:pPr>
              <w:spacing w:after="0" w:line="240" w:lineRule="auto"/>
              <w:jc w:val="center"/>
              <w:rPr>
                <w:sz w:val="20"/>
                <w:szCs w:val="20"/>
              </w:rPr>
            </w:pPr>
            <w:r w:rsidRPr="002B49D4">
              <w:rPr>
                <w:sz w:val="20"/>
                <w:szCs w:val="20"/>
              </w:rPr>
              <w:t>129</w:t>
            </w:r>
          </w:p>
        </w:tc>
        <w:tc>
          <w:tcPr>
            <w:tcW w:w="1725" w:type="dxa"/>
            <w:shd w:val="clear" w:color="auto" w:fill="auto"/>
            <w:vAlign w:val="bottom"/>
          </w:tcPr>
          <w:p w14:paraId="16AF7C44" w14:textId="7A0DEFD7" w:rsidR="00BA4BE9" w:rsidRPr="002B49D4" w:rsidRDefault="00BA4BE9" w:rsidP="002B49D4">
            <w:pPr>
              <w:spacing w:after="0" w:line="240" w:lineRule="auto"/>
              <w:jc w:val="center"/>
              <w:rPr>
                <w:sz w:val="20"/>
                <w:szCs w:val="20"/>
              </w:rPr>
            </w:pPr>
            <w:r w:rsidRPr="002B49D4">
              <w:rPr>
                <w:sz w:val="20"/>
                <w:szCs w:val="20"/>
              </w:rPr>
              <w:t>53.8</w:t>
            </w:r>
          </w:p>
        </w:tc>
      </w:tr>
      <w:tr w:rsidR="002B49D4" w14:paraId="075C5409" w14:textId="77777777" w:rsidTr="002B49D4">
        <w:tc>
          <w:tcPr>
            <w:tcW w:w="1724" w:type="dxa"/>
            <w:shd w:val="clear" w:color="auto" w:fill="auto"/>
            <w:vAlign w:val="bottom"/>
          </w:tcPr>
          <w:p w14:paraId="1F266DA9" w14:textId="1E44E169" w:rsidR="00BA4BE9" w:rsidRPr="002B49D4" w:rsidRDefault="00BA4BE9" w:rsidP="002B49D4">
            <w:pPr>
              <w:spacing w:after="0" w:line="240" w:lineRule="auto"/>
              <w:jc w:val="center"/>
              <w:rPr>
                <w:sz w:val="20"/>
                <w:szCs w:val="20"/>
              </w:rPr>
            </w:pPr>
            <w:r w:rsidRPr="002B49D4">
              <w:rPr>
                <w:sz w:val="20"/>
                <w:szCs w:val="20"/>
              </w:rPr>
              <w:t>Post-graduate</w:t>
            </w:r>
          </w:p>
        </w:tc>
        <w:tc>
          <w:tcPr>
            <w:tcW w:w="1724" w:type="dxa"/>
            <w:shd w:val="clear" w:color="auto" w:fill="auto"/>
            <w:vAlign w:val="bottom"/>
          </w:tcPr>
          <w:p w14:paraId="2049BE12" w14:textId="5388468B" w:rsidR="00BA4BE9" w:rsidRPr="002B49D4" w:rsidRDefault="00BA4BE9" w:rsidP="002B49D4">
            <w:pPr>
              <w:spacing w:after="0" w:line="240" w:lineRule="auto"/>
              <w:jc w:val="center"/>
              <w:rPr>
                <w:sz w:val="20"/>
                <w:szCs w:val="20"/>
              </w:rPr>
            </w:pPr>
            <w:r w:rsidRPr="002B49D4">
              <w:rPr>
                <w:sz w:val="20"/>
                <w:szCs w:val="20"/>
              </w:rPr>
              <w:t>24</w:t>
            </w:r>
          </w:p>
        </w:tc>
        <w:tc>
          <w:tcPr>
            <w:tcW w:w="1724" w:type="dxa"/>
            <w:shd w:val="clear" w:color="auto" w:fill="auto"/>
            <w:vAlign w:val="bottom"/>
          </w:tcPr>
          <w:p w14:paraId="480D8291" w14:textId="2E0734B0" w:rsidR="00BA4BE9" w:rsidRPr="002B49D4" w:rsidRDefault="00BA4BE9" w:rsidP="002B49D4">
            <w:pPr>
              <w:spacing w:after="0" w:line="240" w:lineRule="auto"/>
              <w:jc w:val="center"/>
              <w:rPr>
                <w:sz w:val="20"/>
                <w:szCs w:val="20"/>
              </w:rPr>
            </w:pPr>
            <w:r w:rsidRPr="002B49D4">
              <w:rPr>
                <w:sz w:val="20"/>
                <w:szCs w:val="20"/>
              </w:rPr>
              <w:t>10</w:t>
            </w:r>
          </w:p>
        </w:tc>
        <w:tc>
          <w:tcPr>
            <w:tcW w:w="1724" w:type="dxa"/>
            <w:shd w:val="clear" w:color="auto" w:fill="auto"/>
            <w:vAlign w:val="bottom"/>
          </w:tcPr>
          <w:p w14:paraId="4956E033" w14:textId="03B7156D" w:rsidR="00BA4BE9" w:rsidRPr="002B49D4" w:rsidRDefault="00BA4BE9" w:rsidP="002B49D4">
            <w:pPr>
              <w:spacing w:after="0" w:line="240" w:lineRule="auto"/>
              <w:jc w:val="center"/>
              <w:rPr>
                <w:sz w:val="20"/>
                <w:szCs w:val="20"/>
              </w:rPr>
            </w:pPr>
            <w:r w:rsidRPr="002B49D4">
              <w:rPr>
                <w:sz w:val="20"/>
                <w:szCs w:val="20"/>
              </w:rPr>
              <w:t>Businessperson</w:t>
            </w:r>
          </w:p>
        </w:tc>
        <w:tc>
          <w:tcPr>
            <w:tcW w:w="1724" w:type="dxa"/>
            <w:shd w:val="clear" w:color="auto" w:fill="auto"/>
            <w:vAlign w:val="bottom"/>
          </w:tcPr>
          <w:p w14:paraId="24E3D11B" w14:textId="21BDB610" w:rsidR="00BA4BE9" w:rsidRPr="002B49D4" w:rsidRDefault="00BA4BE9" w:rsidP="002B49D4">
            <w:pPr>
              <w:spacing w:after="0" w:line="240" w:lineRule="auto"/>
              <w:jc w:val="center"/>
              <w:rPr>
                <w:sz w:val="20"/>
                <w:szCs w:val="20"/>
              </w:rPr>
            </w:pPr>
            <w:r w:rsidRPr="002B49D4">
              <w:rPr>
                <w:sz w:val="20"/>
                <w:szCs w:val="20"/>
              </w:rPr>
              <w:t>56</w:t>
            </w:r>
          </w:p>
        </w:tc>
        <w:tc>
          <w:tcPr>
            <w:tcW w:w="1725" w:type="dxa"/>
            <w:shd w:val="clear" w:color="auto" w:fill="auto"/>
            <w:vAlign w:val="bottom"/>
          </w:tcPr>
          <w:p w14:paraId="52D9C4B6" w14:textId="05FE57E3" w:rsidR="00BA4BE9" w:rsidRPr="002B49D4" w:rsidRDefault="00BA4BE9" w:rsidP="002B49D4">
            <w:pPr>
              <w:spacing w:after="0" w:line="240" w:lineRule="auto"/>
              <w:jc w:val="center"/>
              <w:rPr>
                <w:sz w:val="20"/>
                <w:szCs w:val="20"/>
              </w:rPr>
            </w:pPr>
            <w:r w:rsidRPr="002B49D4">
              <w:rPr>
                <w:sz w:val="20"/>
                <w:szCs w:val="20"/>
              </w:rPr>
              <w:t>23.3</w:t>
            </w:r>
          </w:p>
        </w:tc>
      </w:tr>
      <w:tr w:rsidR="002B49D4" w14:paraId="35537463" w14:textId="77777777" w:rsidTr="002B49D4">
        <w:tc>
          <w:tcPr>
            <w:tcW w:w="1724" w:type="dxa"/>
            <w:shd w:val="clear" w:color="auto" w:fill="auto"/>
            <w:vAlign w:val="bottom"/>
          </w:tcPr>
          <w:p w14:paraId="69716D49" w14:textId="657D16E2" w:rsidR="00BA4BE9" w:rsidRPr="002B49D4" w:rsidRDefault="00BA4BE9" w:rsidP="002B49D4">
            <w:pPr>
              <w:spacing w:after="0" w:line="240" w:lineRule="auto"/>
              <w:jc w:val="center"/>
              <w:rPr>
                <w:sz w:val="20"/>
                <w:szCs w:val="20"/>
              </w:rPr>
            </w:pPr>
            <w:r w:rsidRPr="002B49D4">
              <w:rPr>
                <w:b/>
                <w:bCs/>
                <w:sz w:val="20"/>
                <w:szCs w:val="20"/>
              </w:rPr>
              <w:t>Total</w:t>
            </w:r>
          </w:p>
        </w:tc>
        <w:tc>
          <w:tcPr>
            <w:tcW w:w="1724" w:type="dxa"/>
            <w:shd w:val="clear" w:color="auto" w:fill="auto"/>
            <w:vAlign w:val="bottom"/>
          </w:tcPr>
          <w:p w14:paraId="3F7A8407" w14:textId="0AE3B8DE" w:rsidR="00BA4BE9" w:rsidRPr="002B49D4" w:rsidRDefault="00BA4BE9" w:rsidP="002B49D4">
            <w:pPr>
              <w:spacing w:after="0" w:line="240" w:lineRule="auto"/>
              <w:jc w:val="center"/>
              <w:rPr>
                <w:sz w:val="20"/>
                <w:szCs w:val="20"/>
              </w:rPr>
            </w:pPr>
            <w:r w:rsidRPr="002B49D4">
              <w:rPr>
                <w:b/>
                <w:bCs/>
                <w:sz w:val="20"/>
                <w:szCs w:val="20"/>
              </w:rPr>
              <w:t>240</w:t>
            </w:r>
          </w:p>
        </w:tc>
        <w:tc>
          <w:tcPr>
            <w:tcW w:w="1724" w:type="dxa"/>
            <w:shd w:val="clear" w:color="auto" w:fill="auto"/>
            <w:vAlign w:val="bottom"/>
          </w:tcPr>
          <w:p w14:paraId="5A27D9B5" w14:textId="5D37CB2D" w:rsidR="00BA4BE9" w:rsidRPr="002B49D4" w:rsidRDefault="00BA4BE9" w:rsidP="002B49D4">
            <w:pPr>
              <w:spacing w:after="0" w:line="240" w:lineRule="auto"/>
              <w:jc w:val="center"/>
              <w:rPr>
                <w:sz w:val="20"/>
                <w:szCs w:val="20"/>
              </w:rPr>
            </w:pPr>
            <w:r w:rsidRPr="002B49D4">
              <w:rPr>
                <w:b/>
                <w:bCs/>
                <w:sz w:val="20"/>
                <w:szCs w:val="20"/>
              </w:rPr>
              <w:t>100</w:t>
            </w:r>
          </w:p>
        </w:tc>
        <w:tc>
          <w:tcPr>
            <w:tcW w:w="1724" w:type="dxa"/>
            <w:shd w:val="clear" w:color="auto" w:fill="auto"/>
            <w:vAlign w:val="bottom"/>
          </w:tcPr>
          <w:p w14:paraId="45D7D470" w14:textId="097E4B4D" w:rsidR="00BA4BE9" w:rsidRPr="002B49D4" w:rsidRDefault="00BA4BE9" w:rsidP="002B49D4">
            <w:pPr>
              <w:spacing w:after="0" w:line="240" w:lineRule="auto"/>
              <w:jc w:val="center"/>
              <w:rPr>
                <w:sz w:val="20"/>
                <w:szCs w:val="20"/>
              </w:rPr>
            </w:pPr>
            <w:r w:rsidRPr="002B49D4">
              <w:rPr>
                <w:sz w:val="20"/>
                <w:szCs w:val="20"/>
              </w:rPr>
              <w:t>Household</w:t>
            </w:r>
          </w:p>
        </w:tc>
        <w:tc>
          <w:tcPr>
            <w:tcW w:w="1724" w:type="dxa"/>
            <w:shd w:val="clear" w:color="auto" w:fill="auto"/>
            <w:vAlign w:val="bottom"/>
          </w:tcPr>
          <w:p w14:paraId="03FDA4CF" w14:textId="4D1B866A" w:rsidR="00BA4BE9" w:rsidRPr="002B49D4" w:rsidRDefault="00BA4BE9" w:rsidP="002B49D4">
            <w:pPr>
              <w:spacing w:after="0" w:line="240" w:lineRule="auto"/>
              <w:jc w:val="center"/>
              <w:rPr>
                <w:sz w:val="20"/>
                <w:szCs w:val="20"/>
              </w:rPr>
            </w:pPr>
            <w:r w:rsidRPr="002B49D4">
              <w:rPr>
                <w:sz w:val="20"/>
                <w:szCs w:val="20"/>
              </w:rPr>
              <w:t>44</w:t>
            </w:r>
          </w:p>
        </w:tc>
        <w:tc>
          <w:tcPr>
            <w:tcW w:w="1725" w:type="dxa"/>
            <w:shd w:val="clear" w:color="auto" w:fill="auto"/>
            <w:vAlign w:val="bottom"/>
          </w:tcPr>
          <w:p w14:paraId="34A83DB1" w14:textId="34006840" w:rsidR="00BA4BE9" w:rsidRPr="002B49D4" w:rsidRDefault="00BA4BE9" w:rsidP="002B49D4">
            <w:pPr>
              <w:spacing w:after="0" w:line="240" w:lineRule="auto"/>
              <w:jc w:val="center"/>
              <w:rPr>
                <w:sz w:val="20"/>
                <w:szCs w:val="20"/>
              </w:rPr>
            </w:pPr>
            <w:r w:rsidRPr="002B49D4">
              <w:rPr>
                <w:sz w:val="20"/>
                <w:szCs w:val="20"/>
              </w:rPr>
              <w:t>18.3</w:t>
            </w:r>
          </w:p>
        </w:tc>
      </w:tr>
      <w:tr w:rsidR="002B49D4" w14:paraId="073FAF88" w14:textId="77777777" w:rsidTr="002B49D4">
        <w:tc>
          <w:tcPr>
            <w:tcW w:w="1724" w:type="dxa"/>
            <w:shd w:val="clear" w:color="auto" w:fill="auto"/>
            <w:vAlign w:val="bottom"/>
          </w:tcPr>
          <w:p w14:paraId="1A4DC2A3" w14:textId="3675D83A" w:rsidR="00BA4BE9" w:rsidRPr="002B49D4" w:rsidRDefault="00BA4BE9" w:rsidP="002B49D4">
            <w:pPr>
              <w:spacing w:after="0" w:line="240" w:lineRule="auto"/>
              <w:jc w:val="center"/>
              <w:rPr>
                <w:sz w:val="20"/>
                <w:szCs w:val="20"/>
              </w:rPr>
            </w:pPr>
            <w:r w:rsidRPr="002B49D4">
              <w:rPr>
                <w:b/>
                <w:bCs/>
                <w:sz w:val="20"/>
                <w:szCs w:val="20"/>
              </w:rPr>
              <w:t>Marital Status:</w:t>
            </w:r>
          </w:p>
        </w:tc>
        <w:tc>
          <w:tcPr>
            <w:tcW w:w="1724" w:type="dxa"/>
            <w:shd w:val="clear" w:color="auto" w:fill="auto"/>
            <w:vAlign w:val="bottom"/>
          </w:tcPr>
          <w:p w14:paraId="34309C91" w14:textId="77777777" w:rsidR="00BA4BE9" w:rsidRPr="002B49D4" w:rsidRDefault="00BA4BE9" w:rsidP="002B49D4">
            <w:pPr>
              <w:spacing w:after="0" w:line="240" w:lineRule="auto"/>
              <w:jc w:val="center"/>
              <w:rPr>
                <w:sz w:val="20"/>
                <w:szCs w:val="20"/>
              </w:rPr>
            </w:pPr>
          </w:p>
        </w:tc>
        <w:tc>
          <w:tcPr>
            <w:tcW w:w="1724" w:type="dxa"/>
            <w:shd w:val="clear" w:color="auto" w:fill="auto"/>
            <w:vAlign w:val="bottom"/>
          </w:tcPr>
          <w:p w14:paraId="47F326BD" w14:textId="77777777" w:rsidR="00BA4BE9" w:rsidRPr="002B49D4" w:rsidRDefault="00BA4BE9" w:rsidP="002B49D4">
            <w:pPr>
              <w:spacing w:after="0" w:line="240" w:lineRule="auto"/>
              <w:jc w:val="center"/>
              <w:rPr>
                <w:sz w:val="20"/>
                <w:szCs w:val="20"/>
              </w:rPr>
            </w:pPr>
          </w:p>
        </w:tc>
        <w:tc>
          <w:tcPr>
            <w:tcW w:w="1724" w:type="dxa"/>
            <w:shd w:val="clear" w:color="auto" w:fill="auto"/>
            <w:vAlign w:val="bottom"/>
          </w:tcPr>
          <w:p w14:paraId="5622061D" w14:textId="0EAC2DA1" w:rsidR="00BA4BE9" w:rsidRPr="002B49D4" w:rsidRDefault="00BA4BE9" w:rsidP="002B49D4">
            <w:pPr>
              <w:spacing w:after="0" w:line="240" w:lineRule="auto"/>
              <w:jc w:val="center"/>
              <w:rPr>
                <w:sz w:val="20"/>
                <w:szCs w:val="20"/>
              </w:rPr>
            </w:pPr>
            <w:r w:rsidRPr="002B49D4">
              <w:rPr>
                <w:sz w:val="20"/>
                <w:szCs w:val="20"/>
              </w:rPr>
              <w:t>Retired</w:t>
            </w:r>
          </w:p>
        </w:tc>
        <w:tc>
          <w:tcPr>
            <w:tcW w:w="1724" w:type="dxa"/>
            <w:shd w:val="clear" w:color="auto" w:fill="auto"/>
            <w:vAlign w:val="bottom"/>
          </w:tcPr>
          <w:p w14:paraId="72515E20" w14:textId="7E5F2CD0" w:rsidR="00BA4BE9" w:rsidRPr="002B49D4" w:rsidRDefault="00BA4BE9" w:rsidP="002B49D4">
            <w:pPr>
              <w:spacing w:after="0" w:line="240" w:lineRule="auto"/>
              <w:jc w:val="center"/>
              <w:rPr>
                <w:sz w:val="20"/>
                <w:szCs w:val="20"/>
              </w:rPr>
            </w:pPr>
            <w:r w:rsidRPr="002B49D4">
              <w:rPr>
                <w:sz w:val="20"/>
                <w:szCs w:val="20"/>
              </w:rPr>
              <w:t>11</w:t>
            </w:r>
          </w:p>
        </w:tc>
        <w:tc>
          <w:tcPr>
            <w:tcW w:w="1725" w:type="dxa"/>
            <w:shd w:val="clear" w:color="auto" w:fill="auto"/>
            <w:vAlign w:val="bottom"/>
          </w:tcPr>
          <w:p w14:paraId="3694D86D" w14:textId="244711AA" w:rsidR="00BA4BE9" w:rsidRPr="002B49D4" w:rsidRDefault="00BA4BE9" w:rsidP="002B49D4">
            <w:pPr>
              <w:spacing w:after="0" w:line="240" w:lineRule="auto"/>
              <w:jc w:val="center"/>
              <w:rPr>
                <w:sz w:val="20"/>
                <w:szCs w:val="20"/>
              </w:rPr>
            </w:pPr>
            <w:r w:rsidRPr="002B49D4">
              <w:rPr>
                <w:sz w:val="20"/>
                <w:szCs w:val="20"/>
              </w:rPr>
              <w:t>4.6</w:t>
            </w:r>
          </w:p>
        </w:tc>
      </w:tr>
      <w:tr w:rsidR="002B49D4" w14:paraId="4D92E3B7" w14:textId="77777777" w:rsidTr="002B49D4">
        <w:tc>
          <w:tcPr>
            <w:tcW w:w="1724" w:type="dxa"/>
            <w:shd w:val="clear" w:color="auto" w:fill="auto"/>
            <w:vAlign w:val="bottom"/>
          </w:tcPr>
          <w:p w14:paraId="1FF1282C" w14:textId="61F50109" w:rsidR="00BA4BE9" w:rsidRPr="002B49D4" w:rsidRDefault="00BA4BE9" w:rsidP="002B49D4">
            <w:pPr>
              <w:spacing w:after="0" w:line="240" w:lineRule="auto"/>
              <w:jc w:val="center"/>
              <w:rPr>
                <w:sz w:val="20"/>
                <w:szCs w:val="20"/>
              </w:rPr>
            </w:pPr>
            <w:r w:rsidRPr="002B49D4">
              <w:rPr>
                <w:sz w:val="20"/>
                <w:szCs w:val="20"/>
              </w:rPr>
              <w:t>Single</w:t>
            </w:r>
          </w:p>
        </w:tc>
        <w:tc>
          <w:tcPr>
            <w:tcW w:w="1724" w:type="dxa"/>
            <w:shd w:val="clear" w:color="auto" w:fill="auto"/>
            <w:vAlign w:val="bottom"/>
          </w:tcPr>
          <w:p w14:paraId="019EEF56" w14:textId="0F35998E" w:rsidR="00BA4BE9" w:rsidRPr="002B49D4" w:rsidRDefault="00BA4BE9" w:rsidP="002B49D4">
            <w:pPr>
              <w:spacing w:after="0" w:line="240" w:lineRule="auto"/>
              <w:jc w:val="center"/>
              <w:rPr>
                <w:sz w:val="20"/>
                <w:szCs w:val="20"/>
              </w:rPr>
            </w:pPr>
            <w:r w:rsidRPr="002B49D4">
              <w:rPr>
                <w:sz w:val="20"/>
                <w:szCs w:val="20"/>
              </w:rPr>
              <w:t>132</w:t>
            </w:r>
          </w:p>
        </w:tc>
        <w:tc>
          <w:tcPr>
            <w:tcW w:w="1724" w:type="dxa"/>
            <w:shd w:val="clear" w:color="auto" w:fill="auto"/>
            <w:vAlign w:val="bottom"/>
          </w:tcPr>
          <w:p w14:paraId="4950776E" w14:textId="1650838D" w:rsidR="00BA4BE9" w:rsidRPr="002B49D4" w:rsidRDefault="00BA4BE9" w:rsidP="002B49D4">
            <w:pPr>
              <w:spacing w:after="0" w:line="240" w:lineRule="auto"/>
              <w:jc w:val="center"/>
              <w:rPr>
                <w:sz w:val="20"/>
                <w:szCs w:val="20"/>
              </w:rPr>
            </w:pPr>
            <w:r w:rsidRPr="002B49D4">
              <w:rPr>
                <w:sz w:val="20"/>
                <w:szCs w:val="20"/>
              </w:rPr>
              <w:t>55</w:t>
            </w:r>
          </w:p>
        </w:tc>
        <w:tc>
          <w:tcPr>
            <w:tcW w:w="1724" w:type="dxa"/>
            <w:shd w:val="clear" w:color="auto" w:fill="auto"/>
            <w:vAlign w:val="bottom"/>
          </w:tcPr>
          <w:p w14:paraId="2F0291DA" w14:textId="557D6206" w:rsidR="00BA4BE9" w:rsidRPr="002B49D4" w:rsidRDefault="00BA4BE9" w:rsidP="002B49D4">
            <w:pPr>
              <w:spacing w:after="0" w:line="240" w:lineRule="auto"/>
              <w:jc w:val="center"/>
              <w:rPr>
                <w:sz w:val="20"/>
                <w:szCs w:val="20"/>
              </w:rPr>
            </w:pPr>
            <w:r w:rsidRPr="002B49D4">
              <w:rPr>
                <w:b/>
                <w:bCs/>
                <w:sz w:val="20"/>
                <w:szCs w:val="20"/>
              </w:rPr>
              <w:t>Total</w:t>
            </w:r>
          </w:p>
        </w:tc>
        <w:tc>
          <w:tcPr>
            <w:tcW w:w="1724" w:type="dxa"/>
            <w:shd w:val="clear" w:color="auto" w:fill="auto"/>
            <w:vAlign w:val="bottom"/>
          </w:tcPr>
          <w:p w14:paraId="10A223CD" w14:textId="46267405" w:rsidR="00BA4BE9" w:rsidRPr="002B49D4" w:rsidRDefault="00BA4BE9" w:rsidP="002B49D4">
            <w:pPr>
              <w:spacing w:after="0" w:line="240" w:lineRule="auto"/>
              <w:jc w:val="center"/>
              <w:rPr>
                <w:sz w:val="20"/>
                <w:szCs w:val="20"/>
              </w:rPr>
            </w:pPr>
            <w:r w:rsidRPr="002B49D4">
              <w:rPr>
                <w:b/>
                <w:bCs/>
                <w:sz w:val="20"/>
                <w:szCs w:val="20"/>
              </w:rPr>
              <w:t>240</w:t>
            </w:r>
          </w:p>
        </w:tc>
        <w:tc>
          <w:tcPr>
            <w:tcW w:w="1725" w:type="dxa"/>
            <w:shd w:val="clear" w:color="auto" w:fill="auto"/>
            <w:vAlign w:val="bottom"/>
          </w:tcPr>
          <w:p w14:paraId="37442D84" w14:textId="4C3DB69D" w:rsidR="00BA4BE9" w:rsidRPr="002B49D4" w:rsidRDefault="00BA4BE9" w:rsidP="002B49D4">
            <w:pPr>
              <w:spacing w:after="0" w:line="240" w:lineRule="auto"/>
              <w:jc w:val="center"/>
              <w:rPr>
                <w:sz w:val="20"/>
                <w:szCs w:val="20"/>
              </w:rPr>
            </w:pPr>
            <w:r w:rsidRPr="002B49D4">
              <w:rPr>
                <w:b/>
                <w:bCs/>
                <w:sz w:val="20"/>
                <w:szCs w:val="20"/>
              </w:rPr>
              <w:t>100</w:t>
            </w:r>
          </w:p>
        </w:tc>
      </w:tr>
      <w:tr w:rsidR="002B49D4" w14:paraId="30D2F65A" w14:textId="77777777" w:rsidTr="002B49D4">
        <w:tc>
          <w:tcPr>
            <w:tcW w:w="1724" w:type="dxa"/>
            <w:shd w:val="clear" w:color="auto" w:fill="auto"/>
            <w:vAlign w:val="bottom"/>
          </w:tcPr>
          <w:p w14:paraId="596CA6D3" w14:textId="29D37D15" w:rsidR="00BA4BE9" w:rsidRPr="002B49D4" w:rsidRDefault="00BA4BE9" w:rsidP="002B49D4">
            <w:pPr>
              <w:spacing w:after="0" w:line="240" w:lineRule="auto"/>
              <w:jc w:val="center"/>
              <w:rPr>
                <w:sz w:val="20"/>
                <w:szCs w:val="20"/>
              </w:rPr>
            </w:pPr>
            <w:r w:rsidRPr="002B49D4">
              <w:rPr>
                <w:sz w:val="20"/>
                <w:szCs w:val="20"/>
              </w:rPr>
              <w:t>Married</w:t>
            </w:r>
          </w:p>
        </w:tc>
        <w:tc>
          <w:tcPr>
            <w:tcW w:w="1724" w:type="dxa"/>
            <w:shd w:val="clear" w:color="auto" w:fill="auto"/>
            <w:vAlign w:val="bottom"/>
          </w:tcPr>
          <w:p w14:paraId="3848D6C0" w14:textId="317265B2" w:rsidR="00BA4BE9" w:rsidRPr="002B49D4" w:rsidRDefault="00BA4BE9" w:rsidP="002B49D4">
            <w:pPr>
              <w:spacing w:after="0" w:line="240" w:lineRule="auto"/>
              <w:jc w:val="center"/>
              <w:rPr>
                <w:sz w:val="20"/>
                <w:szCs w:val="20"/>
              </w:rPr>
            </w:pPr>
            <w:r w:rsidRPr="002B49D4">
              <w:rPr>
                <w:sz w:val="20"/>
                <w:szCs w:val="20"/>
              </w:rPr>
              <w:t>108</w:t>
            </w:r>
          </w:p>
        </w:tc>
        <w:tc>
          <w:tcPr>
            <w:tcW w:w="1724" w:type="dxa"/>
            <w:shd w:val="clear" w:color="auto" w:fill="auto"/>
            <w:vAlign w:val="bottom"/>
          </w:tcPr>
          <w:p w14:paraId="5D636561" w14:textId="0CB43A0E" w:rsidR="00BA4BE9" w:rsidRPr="002B49D4" w:rsidRDefault="00BA4BE9" w:rsidP="002B49D4">
            <w:pPr>
              <w:spacing w:after="0" w:line="240" w:lineRule="auto"/>
              <w:jc w:val="center"/>
              <w:rPr>
                <w:sz w:val="20"/>
                <w:szCs w:val="20"/>
              </w:rPr>
            </w:pPr>
            <w:r w:rsidRPr="002B49D4">
              <w:rPr>
                <w:sz w:val="20"/>
                <w:szCs w:val="20"/>
              </w:rPr>
              <w:t>45</w:t>
            </w:r>
          </w:p>
        </w:tc>
        <w:tc>
          <w:tcPr>
            <w:tcW w:w="1724" w:type="dxa"/>
            <w:shd w:val="clear" w:color="auto" w:fill="auto"/>
          </w:tcPr>
          <w:p w14:paraId="49352E14" w14:textId="77777777" w:rsidR="00BA4BE9" w:rsidRPr="002B49D4" w:rsidRDefault="00BA4BE9" w:rsidP="002B49D4">
            <w:pPr>
              <w:spacing w:after="0" w:line="240" w:lineRule="auto"/>
              <w:jc w:val="center"/>
              <w:rPr>
                <w:sz w:val="20"/>
                <w:szCs w:val="20"/>
              </w:rPr>
            </w:pPr>
          </w:p>
        </w:tc>
        <w:tc>
          <w:tcPr>
            <w:tcW w:w="1724" w:type="dxa"/>
            <w:shd w:val="clear" w:color="auto" w:fill="auto"/>
          </w:tcPr>
          <w:p w14:paraId="18358810" w14:textId="77777777" w:rsidR="00BA4BE9" w:rsidRPr="002B49D4" w:rsidRDefault="00BA4BE9" w:rsidP="002B49D4">
            <w:pPr>
              <w:spacing w:after="0" w:line="240" w:lineRule="auto"/>
              <w:jc w:val="center"/>
              <w:rPr>
                <w:sz w:val="20"/>
                <w:szCs w:val="20"/>
              </w:rPr>
            </w:pPr>
          </w:p>
        </w:tc>
        <w:tc>
          <w:tcPr>
            <w:tcW w:w="1725" w:type="dxa"/>
            <w:shd w:val="clear" w:color="auto" w:fill="auto"/>
          </w:tcPr>
          <w:p w14:paraId="58B19CA3" w14:textId="77777777" w:rsidR="00BA4BE9" w:rsidRPr="002B49D4" w:rsidRDefault="00BA4BE9" w:rsidP="002B49D4">
            <w:pPr>
              <w:spacing w:after="0" w:line="240" w:lineRule="auto"/>
              <w:jc w:val="center"/>
              <w:rPr>
                <w:sz w:val="20"/>
                <w:szCs w:val="20"/>
              </w:rPr>
            </w:pPr>
          </w:p>
        </w:tc>
      </w:tr>
      <w:tr w:rsidR="002B49D4" w14:paraId="0C84C024" w14:textId="77777777" w:rsidTr="002B49D4">
        <w:tc>
          <w:tcPr>
            <w:tcW w:w="1724" w:type="dxa"/>
            <w:shd w:val="clear" w:color="auto" w:fill="auto"/>
            <w:vAlign w:val="bottom"/>
          </w:tcPr>
          <w:p w14:paraId="6EA9916B" w14:textId="7923DD23" w:rsidR="00BA4BE9" w:rsidRPr="002B49D4" w:rsidRDefault="00BA4BE9" w:rsidP="002B49D4">
            <w:pPr>
              <w:spacing w:after="0" w:line="240" w:lineRule="auto"/>
              <w:jc w:val="center"/>
              <w:rPr>
                <w:sz w:val="20"/>
                <w:szCs w:val="20"/>
              </w:rPr>
            </w:pPr>
            <w:r w:rsidRPr="002B49D4">
              <w:rPr>
                <w:b/>
                <w:bCs/>
                <w:sz w:val="20"/>
                <w:szCs w:val="20"/>
              </w:rPr>
              <w:t>Total</w:t>
            </w:r>
          </w:p>
        </w:tc>
        <w:tc>
          <w:tcPr>
            <w:tcW w:w="1724" w:type="dxa"/>
            <w:shd w:val="clear" w:color="auto" w:fill="auto"/>
            <w:vAlign w:val="bottom"/>
          </w:tcPr>
          <w:p w14:paraId="7A3CB998" w14:textId="6FE76E70" w:rsidR="00BA4BE9" w:rsidRPr="002B49D4" w:rsidRDefault="00BA4BE9" w:rsidP="002B49D4">
            <w:pPr>
              <w:spacing w:after="0" w:line="240" w:lineRule="auto"/>
              <w:jc w:val="center"/>
              <w:rPr>
                <w:sz w:val="20"/>
                <w:szCs w:val="20"/>
              </w:rPr>
            </w:pPr>
            <w:r w:rsidRPr="002B49D4">
              <w:rPr>
                <w:b/>
                <w:bCs/>
                <w:sz w:val="20"/>
                <w:szCs w:val="20"/>
              </w:rPr>
              <w:t>240</w:t>
            </w:r>
          </w:p>
        </w:tc>
        <w:tc>
          <w:tcPr>
            <w:tcW w:w="1724" w:type="dxa"/>
            <w:shd w:val="clear" w:color="auto" w:fill="auto"/>
            <w:vAlign w:val="bottom"/>
          </w:tcPr>
          <w:p w14:paraId="06A8E2A6" w14:textId="1C84C017" w:rsidR="00BA4BE9" w:rsidRPr="002B49D4" w:rsidRDefault="00BA4BE9" w:rsidP="002B49D4">
            <w:pPr>
              <w:spacing w:after="0" w:line="240" w:lineRule="auto"/>
              <w:jc w:val="center"/>
              <w:rPr>
                <w:sz w:val="20"/>
                <w:szCs w:val="20"/>
              </w:rPr>
            </w:pPr>
            <w:r w:rsidRPr="002B49D4">
              <w:rPr>
                <w:b/>
                <w:bCs/>
                <w:sz w:val="20"/>
                <w:szCs w:val="20"/>
              </w:rPr>
              <w:t>100</w:t>
            </w:r>
          </w:p>
        </w:tc>
        <w:tc>
          <w:tcPr>
            <w:tcW w:w="1724" w:type="dxa"/>
            <w:shd w:val="clear" w:color="auto" w:fill="auto"/>
          </w:tcPr>
          <w:p w14:paraId="180BB979" w14:textId="77777777" w:rsidR="00BA4BE9" w:rsidRPr="002B49D4" w:rsidRDefault="00BA4BE9" w:rsidP="002B49D4">
            <w:pPr>
              <w:spacing w:after="0" w:line="240" w:lineRule="auto"/>
              <w:jc w:val="center"/>
              <w:rPr>
                <w:sz w:val="20"/>
                <w:szCs w:val="20"/>
              </w:rPr>
            </w:pPr>
          </w:p>
        </w:tc>
        <w:tc>
          <w:tcPr>
            <w:tcW w:w="1724" w:type="dxa"/>
            <w:shd w:val="clear" w:color="auto" w:fill="auto"/>
          </w:tcPr>
          <w:p w14:paraId="14D70F28" w14:textId="77777777" w:rsidR="00BA4BE9" w:rsidRPr="002B49D4" w:rsidRDefault="00BA4BE9" w:rsidP="002B49D4">
            <w:pPr>
              <w:spacing w:after="0" w:line="240" w:lineRule="auto"/>
              <w:jc w:val="center"/>
              <w:rPr>
                <w:sz w:val="20"/>
                <w:szCs w:val="20"/>
              </w:rPr>
            </w:pPr>
          </w:p>
        </w:tc>
        <w:tc>
          <w:tcPr>
            <w:tcW w:w="1725" w:type="dxa"/>
            <w:shd w:val="clear" w:color="auto" w:fill="auto"/>
          </w:tcPr>
          <w:p w14:paraId="196D2DDA" w14:textId="77777777" w:rsidR="00BA4BE9" w:rsidRPr="002B49D4" w:rsidRDefault="00BA4BE9" w:rsidP="002B49D4">
            <w:pPr>
              <w:spacing w:after="0" w:line="240" w:lineRule="auto"/>
              <w:jc w:val="center"/>
              <w:rPr>
                <w:sz w:val="20"/>
                <w:szCs w:val="20"/>
              </w:rPr>
            </w:pPr>
          </w:p>
        </w:tc>
      </w:tr>
      <w:tr w:rsidR="002B49D4" w14:paraId="2FB6D75C" w14:textId="77777777" w:rsidTr="002B49D4">
        <w:tc>
          <w:tcPr>
            <w:tcW w:w="1724" w:type="dxa"/>
            <w:shd w:val="clear" w:color="auto" w:fill="auto"/>
          </w:tcPr>
          <w:p w14:paraId="0624DBA3" w14:textId="77777777" w:rsidR="00BA4BE9" w:rsidRPr="002B49D4" w:rsidRDefault="00BA4BE9" w:rsidP="002B49D4">
            <w:pPr>
              <w:spacing w:after="0" w:line="240" w:lineRule="auto"/>
              <w:jc w:val="center"/>
              <w:rPr>
                <w:sz w:val="20"/>
                <w:szCs w:val="20"/>
              </w:rPr>
            </w:pPr>
          </w:p>
        </w:tc>
        <w:tc>
          <w:tcPr>
            <w:tcW w:w="1724" w:type="dxa"/>
            <w:shd w:val="clear" w:color="auto" w:fill="auto"/>
          </w:tcPr>
          <w:p w14:paraId="4F0ABA68" w14:textId="77777777" w:rsidR="00BA4BE9" w:rsidRPr="002B49D4" w:rsidRDefault="00BA4BE9" w:rsidP="002B49D4">
            <w:pPr>
              <w:spacing w:after="0" w:line="240" w:lineRule="auto"/>
              <w:jc w:val="center"/>
              <w:rPr>
                <w:sz w:val="20"/>
                <w:szCs w:val="20"/>
              </w:rPr>
            </w:pPr>
          </w:p>
        </w:tc>
        <w:tc>
          <w:tcPr>
            <w:tcW w:w="1724" w:type="dxa"/>
            <w:shd w:val="clear" w:color="auto" w:fill="auto"/>
          </w:tcPr>
          <w:p w14:paraId="699DF87A" w14:textId="77777777" w:rsidR="00BA4BE9" w:rsidRPr="002B49D4" w:rsidRDefault="00BA4BE9" w:rsidP="002B49D4">
            <w:pPr>
              <w:spacing w:after="0" w:line="240" w:lineRule="auto"/>
              <w:jc w:val="center"/>
              <w:rPr>
                <w:sz w:val="20"/>
                <w:szCs w:val="20"/>
              </w:rPr>
            </w:pPr>
          </w:p>
        </w:tc>
        <w:tc>
          <w:tcPr>
            <w:tcW w:w="1724" w:type="dxa"/>
            <w:shd w:val="clear" w:color="auto" w:fill="auto"/>
          </w:tcPr>
          <w:p w14:paraId="6C525235" w14:textId="77777777" w:rsidR="00BA4BE9" w:rsidRPr="002B49D4" w:rsidRDefault="00BA4BE9" w:rsidP="002B49D4">
            <w:pPr>
              <w:spacing w:after="0" w:line="240" w:lineRule="auto"/>
              <w:jc w:val="center"/>
              <w:rPr>
                <w:sz w:val="20"/>
                <w:szCs w:val="20"/>
              </w:rPr>
            </w:pPr>
          </w:p>
        </w:tc>
        <w:tc>
          <w:tcPr>
            <w:tcW w:w="1724" w:type="dxa"/>
            <w:shd w:val="clear" w:color="auto" w:fill="auto"/>
          </w:tcPr>
          <w:p w14:paraId="2D28BF0E" w14:textId="77777777" w:rsidR="00BA4BE9" w:rsidRPr="002B49D4" w:rsidRDefault="00BA4BE9" w:rsidP="002B49D4">
            <w:pPr>
              <w:spacing w:after="0" w:line="240" w:lineRule="auto"/>
              <w:jc w:val="center"/>
              <w:rPr>
                <w:sz w:val="20"/>
                <w:szCs w:val="20"/>
              </w:rPr>
            </w:pPr>
          </w:p>
        </w:tc>
        <w:tc>
          <w:tcPr>
            <w:tcW w:w="1725" w:type="dxa"/>
            <w:shd w:val="clear" w:color="auto" w:fill="auto"/>
          </w:tcPr>
          <w:p w14:paraId="0F36430C" w14:textId="77777777" w:rsidR="00BA4BE9" w:rsidRPr="002B49D4" w:rsidRDefault="00BA4BE9" w:rsidP="002B49D4">
            <w:pPr>
              <w:spacing w:after="0" w:line="240" w:lineRule="auto"/>
              <w:jc w:val="center"/>
              <w:rPr>
                <w:sz w:val="20"/>
                <w:szCs w:val="20"/>
              </w:rPr>
            </w:pPr>
          </w:p>
        </w:tc>
      </w:tr>
    </w:tbl>
    <w:p w14:paraId="5DC51723" w14:textId="77777777" w:rsidR="00DE7C73" w:rsidRPr="0059365A" w:rsidRDefault="00DE7C73" w:rsidP="009B6DE8">
      <w:pPr>
        <w:pBdr>
          <w:top w:val="nil"/>
          <w:left w:val="nil"/>
          <w:bottom w:val="nil"/>
          <w:right w:val="nil"/>
          <w:between w:val="nil"/>
        </w:pBdr>
        <w:spacing w:after="0" w:line="240" w:lineRule="auto"/>
        <w:jc w:val="center"/>
        <w:rPr>
          <w:sz w:val="20"/>
          <w:szCs w:val="20"/>
        </w:rPr>
      </w:pPr>
    </w:p>
    <w:p w14:paraId="09A7227B" w14:textId="20B5E559" w:rsidR="00B255D6" w:rsidRPr="00EE6ABB" w:rsidRDefault="00B255D6" w:rsidP="00EE6ABB">
      <w:pPr>
        <w:pStyle w:val="NoSpacing"/>
        <w:rPr>
          <w:b/>
          <w:bCs/>
          <w:sz w:val="20"/>
          <w:szCs w:val="20"/>
        </w:rPr>
      </w:pPr>
      <w:r w:rsidRPr="00EE6ABB">
        <w:rPr>
          <w:b/>
          <w:bCs/>
          <w:sz w:val="20"/>
          <w:szCs w:val="20"/>
        </w:rPr>
        <w:t>Measurement Instrument</w:t>
      </w:r>
    </w:p>
    <w:p w14:paraId="6BE27BB5" w14:textId="25500E0B" w:rsidR="00B255D6" w:rsidRDefault="00C650C4" w:rsidP="0059365A">
      <w:pPr>
        <w:pBdr>
          <w:top w:val="nil"/>
          <w:left w:val="nil"/>
          <w:bottom w:val="nil"/>
          <w:right w:val="nil"/>
          <w:between w:val="nil"/>
        </w:pBdr>
        <w:spacing w:after="0" w:line="240" w:lineRule="auto"/>
        <w:jc w:val="both"/>
        <w:rPr>
          <w:iCs/>
          <w:sz w:val="20"/>
          <w:szCs w:val="20"/>
        </w:rPr>
      </w:pPr>
      <w:r w:rsidRPr="00C650C4">
        <w:rPr>
          <w:iCs/>
          <w:sz w:val="20"/>
          <w:szCs w:val="20"/>
          <w:lang w:val="en-GB"/>
        </w:rPr>
        <w:t xml:space="preserve">To measure the variables, the present study adopted questionnaire items from previous studies and modified them to make them fit the context of the social media environment. An eight-item scale for social media brand community participation developed by </w:t>
      </w:r>
      <w:proofErr w:type="spellStart"/>
      <w:r w:rsidRPr="00C650C4">
        <w:rPr>
          <w:iCs/>
          <w:sz w:val="20"/>
          <w:szCs w:val="20"/>
          <w:lang w:val="en-GB"/>
        </w:rPr>
        <w:t>Dessart</w:t>
      </w:r>
      <w:proofErr w:type="spellEnd"/>
      <w:r w:rsidRPr="00C650C4">
        <w:rPr>
          <w:iCs/>
          <w:sz w:val="20"/>
          <w:szCs w:val="20"/>
          <w:lang w:val="en-GB"/>
        </w:rPr>
        <w:t xml:space="preserve"> </w:t>
      </w:r>
      <w:r w:rsidRPr="00C650C4">
        <w:rPr>
          <w:i/>
          <w:iCs/>
          <w:sz w:val="20"/>
          <w:szCs w:val="20"/>
          <w:lang w:val="en-GB"/>
        </w:rPr>
        <w:t>et al</w:t>
      </w:r>
      <w:r w:rsidRPr="00C650C4">
        <w:rPr>
          <w:iCs/>
          <w:sz w:val="20"/>
          <w:szCs w:val="20"/>
          <w:lang w:val="en-GB"/>
        </w:rPr>
        <w:t xml:space="preserve">. (2016) was adopted. Social media representatives’ efforts to deal with consumer incivility were measured using Huang’s (2010) four-item scale. To measure social media brand trust, we adapted Chaudhuri and Holbrook’s (2001) four-item scale. Jung </w:t>
      </w:r>
      <w:r w:rsidRPr="00C650C4">
        <w:rPr>
          <w:i/>
          <w:iCs/>
          <w:sz w:val="20"/>
          <w:szCs w:val="20"/>
          <w:lang w:val="en-GB"/>
        </w:rPr>
        <w:t>et al</w:t>
      </w:r>
      <w:r w:rsidRPr="00C650C4">
        <w:rPr>
          <w:iCs/>
          <w:sz w:val="20"/>
          <w:szCs w:val="20"/>
          <w:lang w:val="en-GB"/>
        </w:rPr>
        <w:t>.’s (2017) six-item scale for consumer incivility was adopted and modified to fit the context of consumer incivility in the present study (social media). A 5-point Likert scale ranging from 1 (‘strongly disagree’) to 5 (‘strongly agree’) was used to respond to the questionnaire items.</w:t>
      </w:r>
      <w:r w:rsidR="00707142">
        <w:rPr>
          <w:iCs/>
          <w:sz w:val="20"/>
          <w:szCs w:val="20"/>
          <w:lang w:val="en-GB"/>
        </w:rPr>
        <w:t xml:space="preserve"> </w:t>
      </w:r>
      <w:r w:rsidR="00D93795">
        <w:rPr>
          <w:iCs/>
          <w:sz w:val="20"/>
          <w:szCs w:val="20"/>
        </w:rPr>
        <w:t xml:space="preserve"> </w:t>
      </w:r>
    </w:p>
    <w:p w14:paraId="718D28A1" w14:textId="4F5C8D7E" w:rsidR="0059365A" w:rsidRDefault="0059365A" w:rsidP="0059365A">
      <w:pPr>
        <w:pBdr>
          <w:top w:val="nil"/>
          <w:left w:val="nil"/>
          <w:bottom w:val="nil"/>
          <w:right w:val="nil"/>
          <w:between w:val="nil"/>
        </w:pBdr>
        <w:spacing w:after="0" w:line="240" w:lineRule="auto"/>
        <w:jc w:val="both"/>
        <w:rPr>
          <w:iCs/>
          <w:sz w:val="20"/>
          <w:szCs w:val="20"/>
        </w:rPr>
      </w:pPr>
    </w:p>
    <w:p w14:paraId="3029984C" w14:textId="46C45C92" w:rsidR="00E30809" w:rsidRDefault="00B255D6" w:rsidP="00E30809">
      <w:pPr>
        <w:pStyle w:val="NoSpacing"/>
        <w:jc w:val="center"/>
        <w:rPr>
          <w:sz w:val="20"/>
          <w:szCs w:val="20"/>
        </w:rPr>
      </w:pPr>
      <w:r w:rsidRPr="00EE6ABB">
        <w:rPr>
          <w:b/>
          <w:bCs/>
          <w:sz w:val="20"/>
          <w:szCs w:val="20"/>
        </w:rPr>
        <w:t>RESULTS</w:t>
      </w:r>
    </w:p>
    <w:p w14:paraId="2CA89D50" w14:textId="6FBC2800" w:rsidR="00E30809" w:rsidRPr="00E30809" w:rsidRDefault="00E30809" w:rsidP="00EE6ABB">
      <w:pPr>
        <w:pStyle w:val="NoSpacing"/>
        <w:rPr>
          <w:sz w:val="20"/>
          <w:szCs w:val="20"/>
        </w:rPr>
      </w:pPr>
      <w:r w:rsidRPr="00E30809">
        <w:rPr>
          <w:sz w:val="20"/>
          <w:szCs w:val="20"/>
        </w:rPr>
        <w:t xml:space="preserve">We have followed two step-procedure of </w:t>
      </w:r>
      <w:r>
        <w:rPr>
          <w:sz w:val="20"/>
          <w:szCs w:val="20"/>
        </w:rPr>
        <w:t xml:space="preserve">Structural Equation Modelling with </w:t>
      </w:r>
      <w:r w:rsidRPr="00E30809">
        <w:rPr>
          <w:sz w:val="20"/>
          <w:szCs w:val="20"/>
        </w:rPr>
        <w:t xml:space="preserve">measurement and structural model assessment. </w:t>
      </w:r>
    </w:p>
    <w:p w14:paraId="28160C60" w14:textId="77777777" w:rsidR="00E30809" w:rsidRDefault="00E30809" w:rsidP="00EE6ABB">
      <w:pPr>
        <w:pStyle w:val="NoSpacing"/>
        <w:rPr>
          <w:b/>
          <w:bCs/>
          <w:sz w:val="20"/>
          <w:szCs w:val="20"/>
        </w:rPr>
      </w:pPr>
    </w:p>
    <w:p w14:paraId="1E76ACEE" w14:textId="77777777" w:rsidR="002B4435" w:rsidRPr="001F66E2" w:rsidRDefault="002B4435" w:rsidP="002B4435">
      <w:pPr>
        <w:pStyle w:val="NoSpacing"/>
        <w:rPr>
          <w:b/>
          <w:bCs/>
          <w:sz w:val="20"/>
          <w:szCs w:val="20"/>
          <w:lang w:val="en-GB"/>
        </w:rPr>
      </w:pPr>
      <w:r w:rsidRPr="001F66E2">
        <w:rPr>
          <w:b/>
          <w:bCs/>
          <w:sz w:val="20"/>
          <w:szCs w:val="20"/>
          <w:lang w:val="en-GB"/>
        </w:rPr>
        <w:t>Measurement Model Assessment</w:t>
      </w:r>
    </w:p>
    <w:p w14:paraId="49D4FA01" w14:textId="77777777" w:rsidR="002B4435" w:rsidRPr="001F66E2" w:rsidRDefault="002B4435" w:rsidP="002B4435">
      <w:pPr>
        <w:pBdr>
          <w:top w:val="nil"/>
          <w:left w:val="nil"/>
          <w:bottom w:val="nil"/>
          <w:right w:val="nil"/>
          <w:between w:val="nil"/>
        </w:pBdr>
        <w:spacing w:after="0" w:line="240" w:lineRule="auto"/>
        <w:jc w:val="both"/>
        <w:rPr>
          <w:iCs/>
          <w:sz w:val="20"/>
          <w:szCs w:val="20"/>
          <w:lang w:val="en-GB"/>
        </w:rPr>
      </w:pPr>
    </w:p>
    <w:p w14:paraId="0A87E683" w14:textId="77777777" w:rsidR="002B4435" w:rsidRPr="001F66E2" w:rsidRDefault="002B4435" w:rsidP="002B4435">
      <w:pPr>
        <w:pBdr>
          <w:top w:val="nil"/>
          <w:left w:val="nil"/>
          <w:bottom w:val="nil"/>
          <w:right w:val="nil"/>
          <w:between w:val="nil"/>
        </w:pBdr>
        <w:spacing w:after="0" w:line="240" w:lineRule="auto"/>
        <w:jc w:val="both"/>
        <w:rPr>
          <w:b/>
          <w:bCs/>
          <w:i/>
          <w:sz w:val="20"/>
          <w:szCs w:val="20"/>
          <w:lang w:val="en-GB"/>
        </w:rPr>
      </w:pPr>
      <w:r w:rsidRPr="001F66E2">
        <w:rPr>
          <w:b/>
          <w:bCs/>
          <w:i/>
          <w:sz w:val="20"/>
          <w:szCs w:val="20"/>
          <w:lang w:val="en-GB"/>
        </w:rPr>
        <w:t>Individual Item Reliability</w:t>
      </w:r>
    </w:p>
    <w:p w14:paraId="1AA2E385" w14:textId="727D28FF" w:rsidR="002B4435" w:rsidRPr="001F66E2" w:rsidRDefault="002B4435" w:rsidP="002B4435">
      <w:pPr>
        <w:pBdr>
          <w:top w:val="nil"/>
          <w:left w:val="nil"/>
          <w:bottom w:val="nil"/>
          <w:right w:val="nil"/>
          <w:between w:val="nil"/>
        </w:pBdr>
        <w:spacing w:after="0" w:line="240" w:lineRule="auto"/>
        <w:jc w:val="both"/>
        <w:rPr>
          <w:iCs/>
          <w:sz w:val="20"/>
          <w:szCs w:val="20"/>
          <w:lang w:val="en-GB"/>
        </w:rPr>
      </w:pPr>
      <w:r w:rsidRPr="001F66E2">
        <w:rPr>
          <w:iCs/>
          <w:sz w:val="20"/>
          <w:szCs w:val="20"/>
          <w:lang w:val="en-GB"/>
        </w:rPr>
        <w:t xml:space="preserve">As suggested, item reliability should be assessed through </w:t>
      </w:r>
      <w:r>
        <w:rPr>
          <w:iCs/>
          <w:sz w:val="20"/>
          <w:szCs w:val="20"/>
          <w:lang w:val="en-GB"/>
        </w:rPr>
        <w:t xml:space="preserve">the analysis of the </w:t>
      </w:r>
      <w:r w:rsidRPr="001F66E2">
        <w:rPr>
          <w:iCs/>
          <w:sz w:val="20"/>
          <w:szCs w:val="20"/>
          <w:lang w:val="en-GB"/>
        </w:rPr>
        <w:t xml:space="preserve">factor loadings (Hair </w:t>
      </w:r>
      <w:r w:rsidRPr="002C3A63">
        <w:rPr>
          <w:i/>
          <w:sz w:val="20"/>
          <w:szCs w:val="20"/>
          <w:lang w:val="en-GB"/>
        </w:rPr>
        <w:t>et al.</w:t>
      </w:r>
      <w:r w:rsidRPr="001F66E2">
        <w:rPr>
          <w:iCs/>
          <w:sz w:val="20"/>
          <w:szCs w:val="20"/>
          <w:lang w:val="en-GB"/>
        </w:rPr>
        <w:t xml:space="preserve">, 2014; </w:t>
      </w:r>
      <w:proofErr w:type="spellStart"/>
      <w:r w:rsidRPr="001F66E2">
        <w:rPr>
          <w:iCs/>
          <w:sz w:val="20"/>
          <w:szCs w:val="20"/>
          <w:lang w:val="en-GB"/>
        </w:rPr>
        <w:t>Hulland</w:t>
      </w:r>
      <w:proofErr w:type="spellEnd"/>
      <w:r w:rsidRPr="001F66E2">
        <w:rPr>
          <w:iCs/>
          <w:sz w:val="20"/>
          <w:szCs w:val="20"/>
          <w:lang w:val="en-GB"/>
        </w:rPr>
        <w:t>, 1999). According to Field (2009),</w:t>
      </w:r>
      <w:r>
        <w:rPr>
          <w:iCs/>
          <w:sz w:val="20"/>
          <w:szCs w:val="20"/>
          <w:lang w:val="en-GB"/>
        </w:rPr>
        <w:t xml:space="preserve"> a factor loading</w:t>
      </w:r>
      <w:r w:rsidRPr="001F66E2">
        <w:rPr>
          <w:iCs/>
          <w:sz w:val="20"/>
          <w:szCs w:val="20"/>
          <w:lang w:val="en-GB"/>
        </w:rPr>
        <w:t xml:space="preserve"> below 0.5</w:t>
      </w:r>
      <w:r>
        <w:rPr>
          <w:iCs/>
          <w:sz w:val="20"/>
          <w:szCs w:val="20"/>
          <w:lang w:val="en-GB"/>
        </w:rPr>
        <w:t xml:space="preserve"> </w:t>
      </w:r>
      <w:r w:rsidRPr="001F66E2">
        <w:rPr>
          <w:iCs/>
          <w:sz w:val="20"/>
          <w:szCs w:val="20"/>
          <w:lang w:val="en-GB"/>
        </w:rPr>
        <w:t xml:space="preserve">is unacceptable. We dropped </w:t>
      </w:r>
      <w:r>
        <w:rPr>
          <w:iCs/>
          <w:sz w:val="20"/>
          <w:szCs w:val="20"/>
          <w:lang w:val="en-GB"/>
        </w:rPr>
        <w:t xml:space="preserve">one </w:t>
      </w:r>
      <w:r w:rsidRPr="001F66E2">
        <w:rPr>
          <w:iCs/>
          <w:sz w:val="20"/>
          <w:szCs w:val="20"/>
          <w:lang w:val="en-GB"/>
        </w:rPr>
        <w:t>item from</w:t>
      </w:r>
      <w:r>
        <w:rPr>
          <w:iCs/>
          <w:sz w:val="20"/>
          <w:szCs w:val="20"/>
          <w:lang w:val="en-GB"/>
        </w:rPr>
        <w:t xml:space="preserve"> the</w:t>
      </w:r>
      <w:r w:rsidRPr="001F66E2">
        <w:rPr>
          <w:iCs/>
          <w:sz w:val="20"/>
          <w:szCs w:val="20"/>
          <w:lang w:val="en-GB"/>
        </w:rPr>
        <w:t xml:space="preserve"> </w:t>
      </w:r>
      <w:r w:rsidR="00074B4F">
        <w:rPr>
          <w:iCs/>
          <w:sz w:val="20"/>
          <w:szCs w:val="20"/>
          <w:lang w:val="en-GB"/>
        </w:rPr>
        <w:t>consumer incivility</w:t>
      </w:r>
      <w:r w:rsidRPr="001F66E2">
        <w:rPr>
          <w:iCs/>
          <w:sz w:val="20"/>
          <w:szCs w:val="20"/>
          <w:lang w:val="en-GB"/>
        </w:rPr>
        <w:t xml:space="preserve"> (</w:t>
      </w:r>
      <w:r w:rsidR="00074B4F">
        <w:rPr>
          <w:iCs/>
          <w:sz w:val="20"/>
          <w:szCs w:val="20"/>
          <w:lang w:val="en-GB"/>
        </w:rPr>
        <w:t>CI6</w:t>
      </w:r>
      <w:r w:rsidRPr="001F66E2">
        <w:rPr>
          <w:iCs/>
          <w:sz w:val="20"/>
          <w:szCs w:val="20"/>
          <w:lang w:val="en-GB"/>
        </w:rPr>
        <w:t>)</w:t>
      </w:r>
      <w:r w:rsidR="00074B4F">
        <w:rPr>
          <w:iCs/>
          <w:sz w:val="20"/>
          <w:szCs w:val="20"/>
          <w:lang w:val="en-GB"/>
        </w:rPr>
        <w:t xml:space="preserve"> and two</w:t>
      </w:r>
      <w:r w:rsidR="00E119DC">
        <w:rPr>
          <w:iCs/>
          <w:sz w:val="20"/>
          <w:szCs w:val="20"/>
          <w:lang w:val="en-GB"/>
        </w:rPr>
        <w:t>-</w:t>
      </w:r>
      <w:r w:rsidR="00074B4F">
        <w:rPr>
          <w:iCs/>
          <w:sz w:val="20"/>
          <w:szCs w:val="20"/>
          <w:lang w:val="en-GB"/>
        </w:rPr>
        <w:t xml:space="preserve">items </w:t>
      </w:r>
      <w:r w:rsidR="00E119DC">
        <w:rPr>
          <w:iCs/>
          <w:sz w:val="20"/>
          <w:szCs w:val="20"/>
          <w:lang w:val="en-GB"/>
        </w:rPr>
        <w:t xml:space="preserve">from the </w:t>
      </w:r>
      <w:r w:rsidR="00074B4F" w:rsidRPr="00C650C4">
        <w:rPr>
          <w:iCs/>
          <w:sz w:val="20"/>
          <w:szCs w:val="20"/>
          <w:lang w:val="en-GB"/>
        </w:rPr>
        <w:t>social media brand community participation</w:t>
      </w:r>
      <w:r w:rsidR="00074B4F">
        <w:rPr>
          <w:iCs/>
          <w:sz w:val="20"/>
          <w:szCs w:val="20"/>
          <w:lang w:val="en-GB"/>
        </w:rPr>
        <w:t xml:space="preserve"> (</w:t>
      </w:r>
      <w:r w:rsidR="00E119DC">
        <w:rPr>
          <w:iCs/>
          <w:sz w:val="20"/>
          <w:szCs w:val="20"/>
          <w:lang w:val="en-GB"/>
        </w:rPr>
        <w:t xml:space="preserve">e.g. </w:t>
      </w:r>
      <w:r w:rsidR="00074B4F">
        <w:rPr>
          <w:iCs/>
          <w:sz w:val="20"/>
          <w:szCs w:val="20"/>
          <w:lang w:val="en-GB"/>
        </w:rPr>
        <w:t>SMCP5</w:t>
      </w:r>
      <w:r w:rsidR="00E119DC">
        <w:rPr>
          <w:iCs/>
          <w:sz w:val="20"/>
          <w:szCs w:val="20"/>
          <w:lang w:val="en-GB"/>
        </w:rPr>
        <w:t xml:space="preserve"> </w:t>
      </w:r>
      <w:r w:rsidR="00074B4F">
        <w:rPr>
          <w:iCs/>
          <w:sz w:val="20"/>
          <w:szCs w:val="20"/>
          <w:lang w:val="en-GB"/>
        </w:rPr>
        <w:t>&amp;</w:t>
      </w:r>
      <w:r w:rsidR="00E119DC">
        <w:rPr>
          <w:iCs/>
          <w:sz w:val="20"/>
          <w:szCs w:val="20"/>
          <w:lang w:val="en-GB"/>
        </w:rPr>
        <w:t xml:space="preserve"> SMCP</w:t>
      </w:r>
      <w:r w:rsidR="00074B4F">
        <w:rPr>
          <w:iCs/>
          <w:sz w:val="20"/>
          <w:szCs w:val="20"/>
          <w:lang w:val="en-GB"/>
        </w:rPr>
        <w:t>6)</w:t>
      </w:r>
      <w:r w:rsidRPr="001F66E2">
        <w:rPr>
          <w:iCs/>
          <w:sz w:val="20"/>
          <w:szCs w:val="20"/>
          <w:lang w:val="en-GB"/>
        </w:rPr>
        <w:t xml:space="preserve">. Following </w:t>
      </w:r>
      <w:r>
        <w:rPr>
          <w:iCs/>
          <w:sz w:val="20"/>
          <w:szCs w:val="20"/>
          <w:lang w:val="en-GB"/>
        </w:rPr>
        <w:t>Fi</w:t>
      </w:r>
      <w:r w:rsidRPr="001F66E2">
        <w:rPr>
          <w:iCs/>
          <w:sz w:val="20"/>
          <w:szCs w:val="20"/>
          <w:lang w:val="en-GB"/>
        </w:rPr>
        <w:t>e</w:t>
      </w:r>
      <w:r>
        <w:rPr>
          <w:iCs/>
          <w:sz w:val="20"/>
          <w:szCs w:val="20"/>
          <w:lang w:val="en-GB"/>
        </w:rPr>
        <w:t>ld’s (2009)</w:t>
      </w:r>
      <w:r w:rsidRPr="001F66E2">
        <w:rPr>
          <w:iCs/>
          <w:sz w:val="20"/>
          <w:szCs w:val="20"/>
          <w:lang w:val="en-GB"/>
        </w:rPr>
        <w:t xml:space="preserve"> recommendation, </w:t>
      </w:r>
      <w:r>
        <w:rPr>
          <w:iCs/>
          <w:sz w:val="20"/>
          <w:szCs w:val="20"/>
          <w:lang w:val="en-GB"/>
        </w:rPr>
        <w:t xml:space="preserve">we retained the </w:t>
      </w:r>
      <w:r w:rsidRPr="001F66E2">
        <w:rPr>
          <w:iCs/>
          <w:sz w:val="20"/>
          <w:szCs w:val="20"/>
          <w:lang w:val="en-GB"/>
        </w:rPr>
        <w:t xml:space="preserve">items with </w:t>
      </w:r>
      <w:r>
        <w:rPr>
          <w:iCs/>
          <w:sz w:val="20"/>
          <w:szCs w:val="20"/>
          <w:lang w:val="en-GB"/>
        </w:rPr>
        <w:t xml:space="preserve">0.5 </w:t>
      </w:r>
      <w:r w:rsidRPr="001F66E2">
        <w:rPr>
          <w:iCs/>
          <w:sz w:val="20"/>
          <w:szCs w:val="20"/>
          <w:lang w:val="en-GB"/>
        </w:rPr>
        <w:t xml:space="preserve">minimum loadings. </w:t>
      </w:r>
      <w:r>
        <w:rPr>
          <w:iCs/>
          <w:sz w:val="20"/>
          <w:szCs w:val="20"/>
          <w:lang w:val="en-GB"/>
        </w:rPr>
        <w:t xml:space="preserve">The item </w:t>
      </w:r>
      <w:r w:rsidRPr="001F66E2">
        <w:rPr>
          <w:iCs/>
          <w:sz w:val="20"/>
          <w:szCs w:val="20"/>
          <w:lang w:val="en-GB"/>
        </w:rPr>
        <w:t xml:space="preserve">loadings are </w:t>
      </w:r>
      <w:r>
        <w:rPr>
          <w:iCs/>
          <w:sz w:val="20"/>
          <w:szCs w:val="20"/>
          <w:lang w:val="en-GB"/>
        </w:rPr>
        <w:t xml:space="preserve">shown </w:t>
      </w:r>
      <w:r w:rsidRPr="001F66E2">
        <w:rPr>
          <w:iCs/>
          <w:sz w:val="20"/>
          <w:szCs w:val="20"/>
          <w:lang w:val="en-GB"/>
        </w:rPr>
        <w:t xml:space="preserve">in Table </w:t>
      </w:r>
      <w:r w:rsidR="00C368C0">
        <w:rPr>
          <w:iCs/>
          <w:sz w:val="20"/>
          <w:szCs w:val="20"/>
          <w:lang w:val="en-GB"/>
        </w:rPr>
        <w:t>2</w:t>
      </w:r>
      <w:r w:rsidRPr="001F66E2">
        <w:rPr>
          <w:iCs/>
          <w:sz w:val="20"/>
          <w:szCs w:val="20"/>
          <w:lang w:val="en-GB"/>
        </w:rPr>
        <w:t>.</w:t>
      </w:r>
    </w:p>
    <w:p w14:paraId="75FF1412" w14:textId="77777777" w:rsidR="002B4435" w:rsidRPr="002C3A63" w:rsidRDefault="002B4435" w:rsidP="002B4435">
      <w:pPr>
        <w:pBdr>
          <w:top w:val="nil"/>
          <w:left w:val="nil"/>
          <w:bottom w:val="nil"/>
          <w:right w:val="nil"/>
          <w:between w:val="nil"/>
        </w:pBdr>
        <w:spacing w:after="0" w:line="240" w:lineRule="auto"/>
        <w:jc w:val="both"/>
        <w:rPr>
          <w:rFonts w:eastAsia="Times New Roman"/>
          <w:b/>
          <w:bCs/>
          <w:iCs/>
          <w:sz w:val="20"/>
          <w:szCs w:val="20"/>
          <w:lang w:val="en-GB" w:eastAsia="en-US"/>
        </w:rPr>
      </w:pPr>
    </w:p>
    <w:p w14:paraId="55B1DD91" w14:textId="77777777" w:rsidR="002B4435" w:rsidRPr="001F66E2" w:rsidRDefault="002B4435" w:rsidP="002B4435">
      <w:pPr>
        <w:pBdr>
          <w:top w:val="nil"/>
          <w:left w:val="nil"/>
          <w:bottom w:val="nil"/>
          <w:right w:val="nil"/>
          <w:between w:val="nil"/>
        </w:pBdr>
        <w:spacing w:after="0" w:line="240" w:lineRule="auto"/>
        <w:jc w:val="both"/>
        <w:rPr>
          <w:rFonts w:eastAsia="Times New Roman"/>
          <w:b/>
          <w:bCs/>
          <w:i/>
          <w:sz w:val="20"/>
          <w:szCs w:val="20"/>
          <w:lang w:val="en-GB" w:eastAsia="en-US"/>
        </w:rPr>
      </w:pPr>
      <w:r w:rsidRPr="001F66E2">
        <w:rPr>
          <w:rFonts w:eastAsia="Times New Roman"/>
          <w:b/>
          <w:bCs/>
          <w:i/>
          <w:sz w:val="20"/>
          <w:szCs w:val="20"/>
          <w:lang w:val="en-GB" w:eastAsia="en-US"/>
        </w:rPr>
        <w:t>Internal Consistency Reliability</w:t>
      </w:r>
    </w:p>
    <w:p w14:paraId="238DD43A" w14:textId="77777777" w:rsidR="002B4435" w:rsidRPr="001F66E2" w:rsidRDefault="002B4435" w:rsidP="002B4435">
      <w:pPr>
        <w:pBdr>
          <w:top w:val="nil"/>
          <w:left w:val="nil"/>
          <w:bottom w:val="nil"/>
          <w:right w:val="nil"/>
          <w:between w:val="nil"/>
        </w:pBdr>
        <w:spacing w:after="0" w:line="240" w:lineRule="auto"/>
        <w:jc w:val="both"/>
        <w:rPr>
          <w:rFonts w:eastAsia="Times New Roman"/>
          <w:bCs/>
          <w:iCs/>
          <w:sz w:val="20"/>
          <w:szCs w:val="20"/>
          <w:lang w:val="en-GB" w:eastAsia="en-US"/>
        </w:rPr>
      </w:pPr>
      <w:r>
        <w:rPr>
          <w:rFonts w:eastAsia="Times New Roman"/>
          <w:bCs/>
          <w:iCs/>
          <w:sz w:val="20"/>
          <w:szCs w:val="20"/>
          <w:lang w:val="en-GB" w:eastAsia="en-US"/>
        </w:rPr>
        <w:t>The c</w:t>
      </w:r>
      <w:r w:rsidRPr="001F66E2">
        <w:rPr>
          <w:rFonts w:eastAsia="Times New Roman"/>
          <w:bCs/>
          <w:iCs/>
          <w:sz w:val="20"/>
          <w:szCs w:val="20"/>
          <w:lang w:val="en-GB" w:eastAsia="en-US"/>
        </w:rPr>
        <w:t xml:space="preserve">omposite reliability value was measured to </w:t>
      </w:r>
      <w:r>
        <w:rPr>
          <w:rFonts w:eastAsia="Times New Roman"/>
          <w:bCs/>
          <w:iCs/>
          <w:sz w:val="20"/>
          <w:szCs w:val="20"/>
          <w:lang w:val="en-GB" w:eastAsia="en-US"/>
        </w:rPr>
        <w:t xml:space="preserve">determine </w:t>
      </w:r>
      <w:r w:rsidRPr="001F66E2">
        <w:rPr>
          <w:rFonts w:eastAsia="Times New Roman"/>
          <w:bCs/>
          <w:iCs/>
          <w:sz w:val="20"/>
          <w:szCs w:val="20"/>
          <w:lang w:val="en-GB" w:eastAsia="en-US"/>
        </w:rPr>
        <w:t xml:space="preserve">the </w:t>
      </w:r>
      <w:r>
        <w:rPr>
          <w:rFonts w:eastAsia="Times New Roman"/>
          <w:bCs/>
          <w:iCs/>
          <w:sz w:val="20"/>
          <w:szCs w:val="20"/>
          <w:lang w:val="en-GB" w:eastAsia="en-US"/>
        </w:rPr>
        <w:t xml:space="preserve">items’ </w:t>
      </w:r>
      <w:r w:rsidRPr="001F66E2">
        <w:rPr>
          <w:rFonts w:eastAsia="Times New Roman"/>
          <w:bCs/>
          <w:iCs/>
          <w:sz w:val="20"/>
          <w:szCs w:val="20"/>
          <w:lang w:val="en-GB" w:eastAsia="en-US"/>
        </w:rPr>
        <w:t xml:space="preserve">internal consistency. According to Hair </w:t>
      </w:r>
      <w:r w:rsidRPr="002C3A63">
        <w:rPr>
          <w:rFonts w:eastAsia="Times New Roman"/>
          <w:bCs/>
          <w:i/>
          <w:sz w:val="20"/>
          <w:szCs w:val="20"/>
          <w:lang w:val="en-GB" w:eastAsia="en-US"/>
        </w:rPr>
        <w:t>et al.</w:t>
      </w:r>
      <w:r w:rsidRPr="001F66E2">
        <w:rPr>
          <w:rFonts w:eastAsia="Times New Roman"/>
          <w:bCs/>
          <w:iCs/>
          <w:sz w:val="20"/>
          <w:szCs w:val="20"/>
          <w:lang w:val="en-GB" w:eastAsia="en-US"/>
        </w:rPr>
        <w:t xml:space="preserve"> (2011), </w:t>
      </w:r>
      <w:r>
        <w:rPr>
          <w:rFonts w:eastAsia="Times New Roman"/>
          <w:bCs/>
          <w:iCs/>
          <w:sz w:val="20"/>
          <w:szCs w:val="20"/>
          <w:lang w:val="en-GB" w:eastAsia="en-US"/>
        </w:rPr>
        <w:t>a</w:t>
      </w:r>
      <w:r w:rsidRPr="001F66E2">
        <w:rPr>
          <w:rFonts w:eastAsia="Times New Roman"/>
          <w:bCs/>
          <w:iCs/>
          <w:sz w:val="20"/>
          <w:szCs w:val="20"/>
          <w:lang w:val="en-GB" w:eastAsia="en-US"/>
        </w:rPr>
        <w:t xml:space="preserve"> threshold value of 0.7 or above is recommended</w:t>
      </w:r>
      <w:r>
        <w:rPr>
          <w:rFonts w:eastAsia="Times New Roman"/>
          <w:bCs/>
          <w:iCs/>
          <w:sz w:val="20"/>
          <w:szCs w:val="20"/>
          <w:lang w:val="en-GB" w:eastAsia="en-US"/>
        </w:rPr>
        <w:t>,</w:t>
      </w:r>
      <w:r w:rsidRPr="001F66E2">
        <w:rPr>
          <w:rFonts w:eastAsia="Times New Roman"/>
          <w:bCs/>
          <w:iCs/>
          <w:sz w:val="20"/>
          <w:szCs w:val="20"/>
          <w:lang w:val="en-GB" w:eastAsia="en-US"/>
        </w:rPr>
        <w:t xml:space="preserve"> and we found composite reliability within </w:t>
      </w:r>
      <w:r>
        <w:rPr>
          <w:rFonts w:eastAsia="Times New Roman"/>
          <w:bCs/>
          <w:iCs/>
          <w:sz w:val="20"/>
          <w:szCs w:val="20"/>
          <w:lang w:val="en-GB" w:eastAsia="en-US"/>
        </w:rPr>
        <w:t xml:space="preserve">the </w:t>
      </w:r>
      <w:r w:rsidRPr="001F66E2">
        <w:rPr>
          <w:rFonts w:eastAsia="Times New Roman"/>
          <w:bCs/>
          <w:iCs/>
          <w:sz w:val="20"/>
          <w:szCs w:val="20"/>
          <w:lang w:val="en-GB" w:eastAsia="en-US"/>
        </w:rPr>
        <w:t>0.807</w:t>
      </w:r>
      <w:r>
        <w:rPr>
          <w:rFonts w:eastAsia="Times New Roman"/>
          <w:bCs/>
          <w:iCs/>
          <w:sz w:val="20"/>
          <w:szCs w:val="20"/>
          <w:lang w:val="en-GB" w:eastAsia="en-US"/>
        </w:rPr>
        <w:t>–</w:t>
      </w:r>
      <w:r w:rsidRPr="001F66E2">
        <w:rPr>
          <w:rFonts w:eastAsia="Times New Roman"/>
          <w:bCs/>
          <w:iCs/>
          <w:sz w:val="20"/>
          <w:szCs w:val="20"/>
          <w:lang w:val="en-GB" w:eastAsia="en-US"/>
        </w:rPr>
        <w:t xml:space="preserve">0.957 range </w:t>
      </w:r>
      <w:r>
        <w:rPr>
          <w:rFonts w:eastAsia="Times New Roman"/>
          <w:bCs/>
          <w:iCs/>
          <w:sz w:val="20"/>
          <w:szCs w:val="20"/>
          <w:lang w:val="en-GB" w:eastAsia="en-US"/>
        </w:rPr>
        <w:t xml:space="preserve">for </w:t>
      </w:r>
      <w:r w:rsidRPr="001F66E2">
        <w:rPr>
          <w:rFonts w:eastAsia="Times New Roman"/>
          <w:bCs/>
          <w:iCs/>
          <w:sz w:val="20"/>
          <w:szCs w:val="20"/>
          <w:lang w:val="en-GB" w:eastAsia="en-US"/>
        </w:rPr>
        <w:t xml:space="preserve">each variable. The </w:t>
      </w:r>
      <w:r>
        <w:rPr>
          <w:rFonts w:eastAsia="Times New Roman"/>
          <w:bCs/>
          <w:iCs/>
          <w:sz w:val="20"/>
          <w:szCs w:val="20"/>
          <w:lang w:val="en-GB" w:eastAsia="en-US"/>
        </w:rPr>
        <w:t xml:space="preserve">values obtained </w:t>
      </w:r>
      <w:r w:rsidRPr="001F66E2">
        <w:rPr>
          <w:rFonts w:eastAsia="Times New Roman"/>
          <w:bCs/>
          <w:iCs/>
          <w:sz w:val="20"/>
          <w:szCs w:val="20"/>
          <w:lang w:val="en-GB" w:eastAsia="en-US"/>
        </w:rPr>
        <w:t xml:space="preserve">met the criteria recommended by </w:t>
      </w:r>
      <w:proofErr w:type="spellStart"/>
      <w:r w:rsidRPr="001F66E2">
        <w:rPr>
          <w:rFonts w:eastAsia="Times New Roman"/>
          <w:bCs/>
          <w:iCs/>
          <w:sz w:val="20"/>
          <w:szCs w:val="20"/>
          <w:lang w:val="en-GB" w:eastAsia="en-US"/>
        </w:rPr>
        <w:t>Bagozzi</w:t>
      </w:r>
      <w:proofErr w:type="spellEnd"/>
      <w:r w:rsidRPr="001F66E2">
        <w:rPr>
          <w:rFonts w:eastAsia="Times New Roman"/>
          <w:bCs/>
          <w:iCs/>
          <w:sz w:val="20"/>
          <w:szCs w:val="20"/>
          <w:lang w:val="en-GB" w:eastAsia="en-US"/>
        </w:rPr>
        <w:t xml:space="preserve"> </w:t>
      </w:r>
      <w:r>
        <w:rPr>
          <w:rFonts w:eastAsia="Times New Roman"/>
          <w:bCs/>
          <w:iCs/>
          <w:sz w:val="20"/>
          <w:szCs w:val="20"/>
          <w:lang w:val="en-GB" w:eastAsia="en-US"/>
        </w:rPr>
        <w:t>and</w:t>
      </w:r>
      <w:r w:rsidRPr="001F66E2">
        <w:rPr>
          <w:rFonts w:eastAsia="Times New Roman"/>
          <w:bCs/>
          <w:iCs/>
          <w:sz w:val="20"/>
          <w:szCs w:val="20"/>
          <w:lang w:val="en-GB" w:eastAsia="en-US"/>
        </w:rPr>
        <w:t xml:space="preserve"> Yi (1988), thus establishing </w:t>
      </w:r>
      <w:r>
        <w:rPr>
          <w:rFonts w:eastAsia="Times New Roman"/>
          <w:bCs/>
          <w:iCs/>
          <w:sz w:val="20"/>
          <w:szCs w:val="20"/>
          <w:lang w:val="en-GB" w:eastAsia="en-US"/>
        </w:rPr>
        <w:t xml:space="preserve">the </w:t>
      </w:r>
      <w:r w:rsidRPr="001F66E2">
        <w:rPr>
          <w:rFonts w:eastAsia="Times New Roman"/>
          <w:bCs/>
          <w:iCs/>
          <w:sz w:val="20"/>
          <w:szCs w:val="20"/>
          <w:lang w:val="en-GB" w:eastAsia="en-US"/>
        </w:rPr>
        <w:t>internal consistency of each construct in the model.</w:t>
      </w:r>
    </w:p>
    <w:p w14:paraId="131372AA" w14:textId="77777777" w:rsidR="002B4435" w:rsidRPr="001F66E2" w:rsidRDefault="002B4435" w:rsidP="002B4435">
      <w:pPr>
        <w:pBdr>
          <w:top w:val="nil"/>
          <w:left w:val="nil"/>
          <w:bottom w:val="nil"/>
          <w:right w:val="nil"/>
          <w:between w:val="nil"/>
        </w:pBdr>
        <w:spacing w:after="0" w:line="240" w:lineRule="auto"/>
        <w:jc w:val="both"/>
        <w:rPr>
          <w:rFonts w:eastAsia="Times New Roman"/>
          <w:b/>
          <w:bCs/>
          <w:i/>
          <w:sz w:val="20"/>
          <w:szCs w:val="20"/>
          <w:lang w:val="en-GB" w:eastAsia="en-US"/>
        </w:rPr>
      </w:pPr>
    </w:p>
    <w:p w14:paraId="6C22A312" w14:textId="2088D4E2" w:rsidR="002B4435" w:rsidRDefault="002B4435" w:rsidP="002B4435">
      <w:pPr>
        <w:pBdr>
          <w:top w:val="nil"/>
          <w:left w:val="nil"/>
          <w:bottom w:val="nil"/>
          <w:right w:val="nil"/>
          <w:between w:val="nil"/>
        </w:pBdr>
        <w:spacing w:after="0" w:line="240" w:lineRule="auto"/>
        <w:jc w:val="center"/>
        <w:rPr>
          <w:iCs/>
          <w:sz w:val="20"/>
          <w:szCs w:val="20"/>
          <w:lang w:val="en-GB"/>
        </w:rPr>
      </w:pPr>
      <w:r w:rsidRPr="00A25872">
        <w:rPr>
          <w:iCs/>
          <w:sz w:val="20"/>
          <w:szCs w:val="20"/>
          <w:lang w:val="en-GB"/>
        </w:rPr>
        <w:t>Table 2: Measurement model</w:t>
      </w:r>
    </w:p>
    <w:p w14:paraId="3C5BB1AD" w14:textId="77777777" w:rsidR="00A25872" w:rsidRPr="00A25872" w:rsidRDefault="00A25872" w:rsidP="002B4435">
      <w:pPr>
        <w:pBdr>
          <w:top w:val="nil"/>
          <w:left w:val="nil"/>
          <w:bottom w:val="nil"/>
          <w:right w:val="nil"/>
          <w:between w:val="nil"/>
        </w:pBdr>
        <w:spacing w:after="0" w:line="240" w:lineRule="auto"/>
        <w:jc w:val="center"/>
        <w:rPr>
          <w:iCs/>
          <w:sz w:val="20"/>
          <w:szCs w:val="20"/>
          <w:lang w:val="en-GB"/>
        </w:rPr>
      </w:pPr>
    </w:p>
    <w:tbl>
      <w:tblPr>
        <w:tblW w:w="10136" w:type="dxa"/>
        <w:tblInd w:w="70" w:type="dxa"/>
        <w:tblLayout w:type="fixed"/>
        <w:tblCellMar>
          <w:left w:w="70" w:type="dxa"/>
          <w:right w:w="70" w:type="dxa"/>
        </w:tblCellMar>
        <w:tblLook w:val="04A0" w:firstRow="1" w:lastRow="0" w:firstColumn="1" w:lastColumn="0" w:noHBand="0" w:noVBand="1"/>
      </w:tblPr>
      <w:tblGrid>
        <w:gridCol w:w="1206"/>
        <w:gridCol w:w="6662"/>
        <w:gridCol w:w="2268"/>
      </w:tblGrid>
      <w:tr w:rsidR="002B4435" w:rsidRPr="001F66E2" w14:paraId="102FD6FD" w14:textId="77777777" w:rsidTr="005E2B03">
        <w:trPr>
          <w:trHeight w:val="510"/>
        </w:trPr>
        <w:tc>
          <w:tcPr>
            <w:tcW w:w="1206" w:type="dxa"/>
            <w:tcBorders>
              <w:top w:val="single" w:sz="4" w:space="0" w:color="auto"/>
              <w:left w:val="nil"/>
              <w:bottom w:val="single" w:sz="4" w:space="0" w:color="auto"/>
              <w:right w:val="nil"/>
            </w:tcBorders>
            <w:shd w:val="clear" w:color="auto" w:fill="auto"/>
            <w:vAlign w:val="center"/>
            <w:hideMark/>
          </w:tcPr>
          <w:p w14:paraId="07D6D60A" w14:textId="77777777" w:rsidR="002B4435" w:rsidRPr="001F66E2" w:rsidRDefault="002B4435" w:rsidP="005E2B03">
            <w:pPr>
              <w:spacing w:after="0" w:line="240" w:lineRule="auto"/>
              <w:ind w:right="-67"/>
              <w:jc w:val="center"/>
              <w:rPr>
                <w:rFonts w:eastAsia="Times New Roman"/>
                <w:b/>
                <w:bCs/>
                <w:color w:val="000000"/>
                <w:sz w:val="20"/>
                <w:szCs w:val="20"/>
                <w:lang w:val="en-GB" w:eastAsia="fi-FI"/>
              </w:rPr>
            </w:pPr>
            <w:r>
              <w:rPr>
                <w:rFonts w:eastAsia="Times New Roman"/>
                <w:b/>
                <w:bCs/>
                <w:iCs/>
                <w:color w:val="000000"/>
                <w:sz w:val="20"/>
                <w:szCs w:val="20"/>
                <w:lang w:val="en-GB" w:eastAsia="fi-FI"/>
              </w:rPr>
              <w:lastRenderedPageBreak/>
              <w:t>Construct</w:t>
            </w:r>
          </w:p>
        </w:tc>
        <w:tc>
          <w:tcPr>
            <w:tcW w:w="6662" w:type="dxa"/>
            <w:tcBorders>
              <w:top w:val="single" w:sz="4" w:space="0" w:color="auto"/>
              <w:left w:val="nil"/>
              <w:bottom w:val="single" w:sz="4" w:space="0" w:color="auto"/>
              <w:right w:val="nil"/>
            </w:tcBorders>
            <w:shd w:val="clear" w:color="auto" w:fill="auto"/>
            <w:vAlign w:val="center"/>
            <w:hideMark/>
          </w:tcPr>
          <w:p w14:paraId="57DDF1B5" w14:textId="77777777" w:rsidR="002B4435" w:rsidRPr="001F66E2" w:rsidRDefault="002B4435" w:rsidP="005E2B03">
            <w:pPr>
              <w:spacing w:after="0" w:line="240" w:lineRule="auto"/>
              <w:jc w:val="center"/>
              <w:rPr>
                <w:rFonts w:eastAsia="Times New Roman"/>
                <w:b/>
                <w:bCs/>
                <w:color w:val="000000"/>
                <w:sz w:val="20"/>
                <w:szCs w:val="20"/>
                <w:lang w:val="en-GB" w:eastAsia="fi-FI"/>
              </w:rPr>
            </w:pPr>
            <w:r>
              <w:rPr>
                <w:rFonts w:eastAsia="Times New Roman"/>
                <w:b/>
                <w:bCs/>
                <w:iCs/>
                <w:color w:val="000000"/>
                <w:sz w:val="20"/>
                <w:szCs w:val="20"/>
                <w:lang w:val="en-GB" w:eastAsia="fi-FI"/>
              </w:rPr>
              <w:t>Item</w:t>
            </w:r>
          </w:p>
        </w:tc>
        <w:tc>
          <w:tcPr>
            <w:tcW w:w="2268" w:type="dxa"/>
            <w:tcBorders>
              <w:top w:val="single" w:sz="4" w:space="0" w:color="auto"/>
              <w:left w:val="nil"/>
              <w:bottom w:val="single" w:sz="4" w:space="0" w:color="auto"/>
              <w:right w:val="nil"/>
            </w:tcBorders>
            <w:shd w:val="clear" w:color="auto" w:fill="auto"/>
            <w:vAlign w:val="center"/>
            <w:hideMark/>
          </w:tcPr>
          <w:p w14:paraId="788E8FCE" w14:textId="77777777" w:rsidR="002B4435" w:rsidRPr="001F66E2" w:rsidRDefault="002B4435" w:rsidP="005E2B03">
            <w:pPr>
              <w:spacing w:after="0" w:line="240" w:lineRule="auto"/>
              <w:jc w:val="center"/>
              <w:rPr>
                <w:rFonts w:eastAsia="Times New Roman"/>
                <w:b/>
                <w:bCs/>
                <w:color w:val="000000"/>
                <w:sz w:val="20"/>
                <w:szCs w:val="20"/>
                <w:lang w:val="en-GB" w:eastAsia="fi-FI"/>
              </w:rPr>
            </w:pPr>
            <w:r w:rsidRPr="001F66E2">
              <w:rPr>
                <w:rFonts w:eastAsia="Times New Roman"/>
                <w:b/>
                <w:bCs/>
                <w:iCs/>
                <w:color w:val="000000"/>
                <w:sz w:val="20"/>
                <w:szCs w:val="20"/>
                <w:lang w:val="en-GB" w:eastAsia="fi-FI"/>
              </w:rPr>
              <w:t>Standardi</w:t>
            </w:r>
            <w:r>
              <w:rPr>
                <w:rFonts w:eastAsia="Times New Roman"/>
                <w:b/>
                <w:bCs/>
                <w:iCs/>
                <w:color w:val="000000"/>
                <w:sz w:val="20"/>
                <w:szCs w:val="20"/>
                <w:lang w:val="en-GB" w:eastAsia="fi-FI"/>
              </w:rPr>
              <w:t>s</w:t>
            </w:r>
            <w:r w:rsidRPr="001F66E2">
              <w:rPr>
                <w:rFonts w:eastAsia="Times New Roman"/>
                <w:b/>
                <w:bCs/>
                <w:iCs/>
                <w:color w:val="000000"/>
                <w:sz w:val="20"/>
                <w:szCs w:val="20"/>
                <w:lang w:val="en-GB" w:eastAsia="fi-FI"/>
              </w:rPr>
              <w:t xml:space="preserve">ed </w:t>
            </w:r>
            <w:r>
              <w:rPr>
                <w:rFonts w:eastAsia="Times New Roman"/>
                <w:b/>
                <w:bCs/>
                <w:iCs/>
                <w:color w:val="000000"/>
                <w:sz w:val="20"/>
                <w:szCs w:val="20"/>
                <w:lang w:val="en-GB" w:eastAsia="fi-FI"/>
              </w:rPr>
              <w:t>loading</w:t>
            </w:r>
          </w:p>
        </w:tc>
      </w:tr>
      <w:tr w:rsidR="002B4435" w:rsidRPr="001F66E2" w14:paraId="61653D11" w14:textId="77777777" w:rsidTr="005E2B03">
        <w:trPr>
          <w:trHeight w:val="300"/>
        </w:trPr>
        <w:tc>
          <w:tcPr>
            <w:tcW w:w="7868" w:type="dxa"/>
            <w:gridSpan w:val="2"/>
            <w:tcBorders>
              <w:top w:val="nil"/>
              <w:left w:val="nil"/>
              <w:bottom w:val="nil"/>
              <w:right w:val="nil"/>
            </w:tcBorders>
            <w:shd w:val="clear" w:color="auto" w:fill="auto"/>
            <w:vAlign w:val="center"/>
            <w:hideMark/>
          </w:tcPr>
          <w:p w14:paraId="165752D9" w14:textId="77777777" w:rsidR="002B4435" w:rsidRPr="001F66E2" w:rsidRDefault="002B4435" w:rsidP="005E2B03">
            <w:pPr>
              <w:spacing w:after="0" w:line="240" w:lineRule="auto"/>
              <w:rPr>
                <w:rFonts w:eastAsia="Times New Roman"/>
                <w:b/>
                <w:bCs/>
                <w:color w:val="000000"/>
                <w:sz w:val="20"/>
                <w:szCs w:val="20"/>
                <w:lang w:val="en-GB" w:eastAsia="fi-FI"/>
              </w:rPr>
            </w:pPr>
            <w:r w:rsidRPr="001F66E2">
              <w:rPr>
                <w:rFonts w:eastAsia="Times New Roman"/>
                <w:b/>
                <w:bCs/>
                <w:iCs/>
                <w:color w:val="000000"/>
                <w:sz w:val="20"/>
                <w:szCs w:val="20"/>
                <w:lang w:val="en-GB" w:eastAsia="fi-FI"/>
              </w:rPr>
              <w:t xml:space="preserve">Consumer </w:t>
            </w:r>
            <w:r>
              <w:rPr>
                <w:rFonts w:eastAsia="Times New Roman"/>
                <w:b/>
                <w:bCs/>
                <w:iCs/>
                <w:color w:val="000000"/>
                <w:sz w:val="20"/>
                <w:szCs w:val="20"/>
                <w:lang w:val="en-GB" w:eastAsia="fi-FI"/>
              </w:rPr>
              <w:t>i</w:t>
            </w:r>
            <w:r w:rsidRPr="001F66E2">
              <w:rPr>
                <w:rFonts w:eastAsia="Times New Roman"/>
                <w:b/>
                <w:bCs/>
                <w:iCs/>
                <w:color w:val="000000"/>
                <w:sz w:val="20"/>
                <w:szCs w:val="20"/>
                <w:lang w:val="en-GB" w:eastAsia="fi-FI"/>
              </w:rPr>
              <w:t xml:space="preserve">ncivility </w:t>
            </w:r>
            <w:r w:rsidRPr="001F66E2">
              <w:rPr>
                <w:rFonts w:eastAsia="Times New Roman"/>
                <w:iCs/>
                <w:color w:val="000000"/>
                <w:sz w:val="20"/>
                <w:szCs w:val="20"/>
                <w:lang w:val="en-GB" w:eastAsia="fi-FI"/>
              </w:rPr>
              <w:t>(α</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0.783</w:t>
            </w: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 CR</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0.894</w:t>
            </w: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 AVE</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0.539)</w:t>
            </w:r>
          </w:p>
        </w:tc>
        <w:tc>
          <w:tcPr>
            <w:tcW w:w="2268" w:type="dxa"/>
            <w:tcBorders>
              <w:top w:val="nil"/>
              <w:left w:val="nil"/>
              <w:bottom w:val="nil"/>
              <w:right w:val="nil"/>
            </w:tcBorders>
            <w:shd w:val="clear" w:color="auto" w:fill="auto"/>
            <w:vAlign w:val="center"/>
            <w:hideMark/>
          </w:tcPr>
          <w:p w14:paraId="2F120562" w14:textId="77777777" w:rsidR="002B4435" w:rsidRPr="001F66E2" w:rsidRDefault="002B4435" w:rsidP="005E2B03">
            <w:pPr>
              <w:spacing w:after="0" w:line="240" w:lineRule="auto"/>
              <w:rPr>
                <w:rFonts w:eastAsia="Times New Roman"/>
                <w:b/>
                <w:bCs/>
                <w:color w:val="000000"/>
                <w:sz w:val="20"/>
                <w:szCs w:val="20"/>
                <w:lang w:val="en-GB" w:eastAsia="fi-FI"/>
              </w:rPr>
            </w:pPr>
          </w:p>
        </w:tc>
      </w:tr>
      <w:tr w:rsidR="002B4435" w:rsidRPr="001F66E2" w14:paraId="63CCD34E" w14:textId="77777777" w:rsidTr="005E2B03">
        <w:trPr>
          <w:trHeight w:val="300"/>
        </w:trPr>
        <w:tc>
          <w:tcPr>
            <w:tcW w:w="1206" w:type="dxa"/>
            <w:tcBorders>
              <w:top w:val="nil"/>
              <w:left w:val="nil"/>
              <w:bottom w:val="nil"/>
              <w:right w:val="nil"/>
            </w:tcBorders>
            <w:shd w:val="clear" w:color="auto" w:fill="auto"/>
            <w:vAlign w:val="center"/>
            <w:hideMark/>
          </w:tcPr>
          <w:p w14:paraId="03E4A56C"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CI1</w:t>
            </w:r>
          </w:p>
        </w:tc>
        <w:tc>
          <w:tcPr>
            <w:tcW w:w="6662" w:type="dxa"/>
            <w:tcBorders>
              <w:top w:val="nil"/>
              <w:left w:val="nil"/>
              <w:bottom w:val="nil"/>
              <w:right w:val="nil"/>
            </w:tcBorders>
            <w:shd w:val="clear" w:color="auto" w:fill="auto"/>
            <w:vAlign w:val="center"/>
            <w:hideMark/>
          </w:tcPr>
          <w:p w14:paraId="75AAD774"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The other consumer behaved in a way I do not agree with.</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36187853"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0.738</w:t>
            </w:r>
          </w:p>
        </w:tc>
      </w:tr>
      <w:tr w:rsidR="002B4435" w:rsidRPr="001F66E2" w14:paraId="05211CBF" w14:textId="77777777" w:rsidTr="005E2B03">
        <w:trPr>
          <w:trHeight w:val="300"/>
        </w:trPr>
        <w:tc>
          <w:tcPr>
            <w:tcW w:w="1206" w:type="dxa"/>
            <w:tcBorders>
              <w:top w:val="nil"/>
              <w:left w:val="nil"/>
              <w:bottom w:val="nil"/>
              <w:right w:val="nil"/>
            </w:tcBorders>
            <w:shd w:val="clear" w:color="auto" w:fill="auto"/>
            <w:vAlign w:val="center"/>
            <w:hideMark/>
          </w:tcPr>
          <w:p w14:paraId="43D3384B"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color w:val="000000"/>
                <w:sz w:val="20"/>
                <w:szCs w:val="20"/>
                <w:lang w:val="en-GB" w:eastAsia="fi-FI"/>
              </w:rPr>
              <w:t>CI2</w:t>
            </w:r>
          </w:p>
        </w:tc>
        <w:tc>
          <w:tcPr>
            <w:tcW w:w="6662" w:type="dxa"/>
            <w:tcBorders>
              <w:top w:val="nil"/>
              <w:left w:val="nil"/>
              <w:bottom w:val="nil"/>
              <w:right w:val="nil"/>
            </w:tcBorders>
            <w:shd w:val="clear" w:color="auto" w:fill="auto"/>
            <w:vAlign w:val="center"/>
            <w:hideMark/>
          </w:tcPr>
          <w:p w14:paraId="192370BC"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color w:val="000000"/>
                <w:sz w:val="20"/>
                <w:szCs w:val="20"/>
                <w:lang w:val="en-GB" w:eastAsia="fi-FI"/>
              </w:rPr>
              <w:t>‘</w:t>
            </w:r>
            <w:r w:rsidRPr="001F66E2">
              <w:rPr>
                <w:rFonts w:eastAsia="Times New Roman"/>
                <w:color w:val="000000"/>
                <w:sz w:val="20"/>
                <w:szCs w:val="20"/>
                <w:lang w:val="en-GB" w:eastAsia="fi-FI"/>
              </w:rPr>
              <w:t xml:space="preserve">The other consumer conducted </w:t>
            </w:r>
            <w:r>
              <w:rPr>
                <w:rFonts w:eastAsia="Times New Roman"/>
                <w:color w:val="000000"/>
                <w:sz w:val="20"/>
                <w:szCs w:val="20"/>
                <w:lang w:val="en-GB" w:eastAsia="fi-FI"/>
              </w:rPr>
              <w:t xml:space="preserve">themselves </w:t>
            </w:r>
            <w:r w:rsidRPr="001F66E2">
              <w:rPr>
                <w:rFonts w:eastAsia="Times New Roman"/>
                <w:color w:val="000000"/>
                <w:sz w:val="20"/>
                <w:szCs w:val="20"/>
                <w:lang w:val="en-GB" w:eastAsia="fi-FI"/>
              </w:rPr>
              <w:t>in a manner I do not find appropriate.</w:t>
            </w:r>
            <w:r>
              <w:rPr>
                <w:rFonts w:eastAsia="Times New Roman"/>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7FA8ADD1"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color w:val="000000"/>
                <w:sz w:val="20"/>
                <w:szCs w:val="20"/>
                <w:lang w:val="en-GB" w:eastAsia="fi-FI"/>
              </w:rPr>
              <w:t>0.727</w:t>
            </w:r>
          </w:p>
        </w:tc>
      </w:tr>
      <w:tr w:rsidR="002B4435" w:rsidRPr="001F66E2" w14:paraId="400D9512" w14:textId="77777777" w:rsidTr="005E2B03">
        <w:trPr>
          <w:trHeight w:val="300"/>
        </w:trPr>
        <w:tc>
          <w:tcPr>
            <w:tcW w:w="1206" w:type="dxa"/>
            <w:tcBorders>
              <w:top w:val="nil"/>
              <w:left w:val="nil"/>
              <w:bottom w:val="nil"/>
              <w:right w:val="nil"/>
            </w:tcBorders>
            <w:shd w:val="clear" w:color="auto" w:fill="auto"/>
            <w:vAlign w:val="center"/>
            <w:hideMark/>
          </w:tcPr>
          <w:p w14:paraId="62587B90"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CI3</w:t>
            </w:r>
          </w:p>
        </w:tc>
        <w:tc>
          <w:tcPr>
            <w:tcW w:w="6662" w:type="dxa"/>
            <w:tcBorders>
              <w:top w:val="nil"/>
              <w:left w:val="nil"/>
              <w:bottom w:val="nil"/>
              <w:right w:val="nil"/>
            </w:tcBorders>
            <w:shd w:val="clear" w:color="auto" w:fill="auto"/>
            <w:vAlign w:val="center"/>
            <w:hideMark/>
          </w:tcPr>
          <w:p w14:paraId="77893BA5"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The other consumer behaved in a way I was not expecting.</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66C21E34"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0.705</w:t>
            </w:r>
          </w:p>
        </w:tc>
      </w:tr>
      <w:tr w:rsidR="002B4435" w:rsidRPr="001F66E2" w14:paraId="2DC7E74A" w14:textId="77777777" w:rsidTr="005E2B03">
        <w:trPr>
          <w:trHeight w:val="300"/>
        </w:trPr>
        <w:tc>
          <w:tcPr>
            <w:tcW w:w="1206" w:type="dxa"/>
            <w:tcBorders>
              <w:top w:val="nil"/>
              <w:left w:val="nil"/>
              <w:bottom w:val="nil"/>
              <w:right w:val="nil"/>
            </w:tcBorders>
            <w:shd w:val="clear" w:color="auto" w:fill="auto"/>
            <w:vAlign w:val="center"/>
            <w:hideMark/>
          </w:tcPr>
          <w:p w14:paraId="641CA7C2"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CI4</w:t>
            </w:r>
          </w:p>
        </w:tc>
        <w:tc>
          <w:tcPr>
            <w:tcW w:w="6662" w:type="dxa"/>
            <w:tcBorders>
              <w:top w:val="nil"/>
              <w:left w:val="nil"/>
              <w:bottom w:val="nil"/>
              <w:right w:val="nil"/>
            </w:tcBorders>
            <w:shd w:val="clear" w:color="auto" w:fill="auto"/>
            <w:vAlign w:val="center"/>
            <w:hideMark/>
          </w:tcPr>
          <w:p w14:paraId="3A5C9D9C" w14:textId="77777777" w:rsidR="002B4435" w:rsidRPr="004F73B7" w:rsidRDefault="002B4435" w:rsidP="005E2B03">
            <w:pPr>
              <w:spacing w:after="0" w:line="240" w:lineRule="auto"/>
              <w:rPr>
                <w:rFonts w:eastAsia="Times New Roman"/>
                <w:iCs/>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Other consumers complain and give the company and its employees a hard time.</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0E17453D"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0.701</w:t>
            </w:r>
          </w:p>
        </w:tc>
      </w:tr>
      <w:tr w:rsidR="002B4435" w:rsidRPr="001F66E2" w14:paraId="25B3AC22" w14:textId="77777777" w:rsidTr="005E2B03">
        <w:trPr>
          <w:trHeight w:val="510"/>
        </w:trPr>
        <w:tc>
          <w:tcPr>
            <w:tcW w:w="1206" w:type="dxa"/>
            <w:tcBorders>
              <w:top w:val="nil"/>
              <w:left w:val="nil"/>
              <w:bottom w:val="nil"/>
              <w:right w:val="nil"/>
            </w:tcBorders>
            <w:shd w:val="clear" w:color="auto" w:fill="auto"/>
            <w:vAlign w:val="center"/>
            <w:hideMark/>
          </w:tcPr>
          <w:p w14:paraId="6900C936"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CI5</w:t>
            </w:r>
          </w:p>
        </w:tc>
        <w:tc>
          <w:tcPr>
            <w:tcW w:w="6662" w:type="dxa"/>
            <w:tcBorders>
              <w:top w:val="nil"/>
              <w:left w:val="nil"/>
              <w:bottom w:val="nil"/>
              <w:right w:val="nil"/>
            </w:tcBorders>
            <w:shd w:val="clear" w:color="auto" w:fill="auto"/>
            <w:vAlign w:val="center"/>
            <w:hideMark/>
          </w:tcPr>
          <w:p w14:paraId="5E3419D2"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Other consumers complain to be unpleasant with </w:t>
            </w:r>
            <w:r>
              <w:rPr>
                <w:rFonts w:eastAsia="Times New Roman"/>
                <w:iCs/>
                <w:color w:val="000000"/>
                <w:sz w:val="20"/>
                <w:szCs w:val="20"/>
                <w:lang w:val="en-GB" w:eastAsia="fi-FI"/>
              </w:rPr>
              <w:t xml:space="preserve">the </w:t>
            </w:r>
            <w:r w:rsidRPr="001F66E2">
              <w:rPr>
                <w:rFonts w:eastAsia="Times New Roman"/>
                <w:iCs/>
                <w:color w:val="000000"/>
                <w:sz w:val="20"/>
                <w:szCs w:val="20"/>
                <w:lang w:val="en-GB" w:eastAsia="fi-FI"/>
              </w:rPr>
              <w:t>company’s employees and representatives.</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0FCF7B23"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0.698</w:t>
            </w:r>
          </w:p>
        </w:tc>
      </w:tr>
      <w:tr w:rsidR="002B4435" w:rsidRPr="001F66E2" w14:paraId="4C335272" w14:textId="77777777" w:rsidTr="005E2B03">
        <w:trPr>
          <w:trHeight w:val="510"/>
        </w:trPr>
        <w:tc>
          <w:tcPr>
            <w:tcW w:w="1206" w:type="dxa"/>
            <w:tcBorders>
              <w:top w:val="nil"/>
              <w:left w:val="nil"/>
              <w:bottom w:val="nil"/>
              <w:right w:val="nil"/>
            </w:tcBorders>
            <w:shd w:val="clear" w:color="auto" w:fill="auto"/>
            <w:vAlign w:val="center"/>
            <w:hideMark/>
          </w:tcPr>
          <w:p w14:paraId="78DF5397"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CI6</w:t>
            </w:r>
          </w:p>
        </w:tc>
        <w:tc>
          <w:tcPr>
            <w:tcW w:w="6662" w:type="dxa"/>
            <w:tcBorders>
              <w:top w:val="nil"/>
              <w:left w:val="nil"/>
              <w:bottom w:val="nil"/>
              <w:right w:val="nil"/>
            </w:tcBorders>
            <w:shd w:val="clear" w:color="auto" w:fill="auto"/>
            <w:vAlign w:val="center"/>
            <w:hideMark/>
          </w:tcPr>
          <w:p w14:paraId="2A96AD63"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Other consumers complain to make someone from the company pay for its poor service.</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7186673C"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Removed</w:t>
            </w:r>
          </w:p>
        </w:tc>
      </w:tr>
      <w:tr w:rsidR="002B4435" w:rsidRPr="001F66E2" w14:paraId="0408CF5A" w14:textId="77777777" w:rsidTr="005E2B03">
        <w:trPr>
          <w:trHeight w:val="300"/>
        </w:trPr>
        <w:tc>
          <w:tcPr>
            <w:tcW w:w="7868" w:type="dxa"/>
            <w:gridSpan w:val="2"/>
            <w:tcBorders>
              <w:top w:val="nil"/>
              <w:left w:val="nil"/>
              <w:bottom w:val="nil"/>
              <w:right w:val="nil"/>
            </w:tcBorders>
            <w:shd w:val="clear" w:color="auto" w:fill="auto"/>
            <w:vAlign w:val="center"/>
            <w:hideMark/>
          </w:tcPr>
          <w:p w14:paraId="67EEBDBF" w14:textId="77777777" w:rsidR="002B4435" w:rsidRPr="001F66E2" w:rsidRDefault="002B4435" w:rsidP="005E2B03">
            <w:pPr>
              <w:spacing w:after="0" w:line="240" w:lineRule="auto"/>
              <w:rPr>
                <w:rFonts w:eastAsia="Times New Roman"/>
                <w:b/>
                <w:bCs/>
                <w:color w:val="000000"/>
                <w:sz w:val="20"/>
                <w:szCs w:val="20"/>
                <w:lang w:val="en-GB" w:eastAsia="fi-FI"/>
              </w:rPr>
            </w:pPr>
            <w:r w:rsidRPr="001F66E2">
              <w:rPr>
                <w:rFonts w:eastAsia="Times New Roman"/>
                <w:b/>
                <w:bCs/>
                <w:iCs/>
                <w:color w:val="000000"/>
                <w:sz w:val="20"/>
                <w:szCs w:val="20"/>
                <w:lang w:val="en-GB" w:eastAsia="fi-FI"/>
              </w:rPr>
              <w:t xml:space="preserve">Social media </w:t>
            </w:r>
            <w:r>
              <w:rPr>
                <w:rFonts w:eastAsia="Times New Roman"/>
                <w:b/>
                <w:bCs/>
                <w:iCs/>
                <w:color w:val="000000"/>
                <w:sz w:val="20"/>
                <w:szCs w:val="20"/>
                <w:lang w:val="en-GB" w:eastAsia="fi-FI"/>
              </w:rPr>
              <w:t xml:space="preserve">brand </w:t>
            </w:r>
            <w:r w:rsidRPr="001F66E2">
              <w:rPr>
                <w:rFonts w:eastAsia="Times New Roman"/>
                <w:b/>
                <w:bCs/>
                <w:iCs/>
                <w:color w:val="000000"/>
                <w:sz w:val="20"/>
                <w:szCs w:val="20"/>
                <w:lang w:val="en-GB" w:eastAsia="fi-FI"/>
              </w:rPr>
              <w:t xml:space="preserve">trust </w:t>
            </w:r>
            <w:r w:rsidRPr="001F66E2">
              <w:rPr>
                <w:rFonts w:eastAsia="Times New Roman"/>
                <w:iCs/>
                <w:color w:val="000000"/>
                <w:sz w:val="20"/>
                <w:szCs w:val="20"/>
                <w:lang w:val="en-GB" w:eastAsia="fi-FI"/>
              </w:rPr>
              <w:t>(α</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0.807</w:t>
            </w: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 CR</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0.897</w:t>
            </w: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 AVE</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0.633)</w:t>
            </w:r>
          </w:p>
        </w:tc>
        <w:tc>
          <w:tcPr>
            <w:tcW w:w="2268" w:type="dxa"/>
            <w:tcBorders>
              <w:top w:val="nil"/>
              <w:left w:val="nil"/>
              <w:bottom w:val="nil"/>
              <w:right w:val="nil"/>
            </w:tcBorders>
            <w:shd w:val="clear" w:color="auto" w:fill="auto"/>
            <w:vAlign w:val="bottom"/>
            <w:hideMark/>
          </w:tcPr>
          <w:p w14:paraId="4CF23C86" w14:textId="77777777" w:rsidR="002B4435" w:rsidRPr="001F66E2" w:rsidRDefault="002B4435" w:rsidP="005E2B03">
            <w:pPr>
              <w:spacing w:after="0" w:line="240" w:lineRule="auto"/>
              <w:rPr>
                <w:rFonts w:eastAsia="Times New Roman"/>
                <w:b/>
                <w:bCs/>
                <w:color w:val="000000"/>
                <w:sz w:val="20"/>
                <w:szCs w:val="20"/>
                <w:lang w:val="en-GB" w:eastAsia="fi-FI"/>
              </w:rPr>
            </w:pPr>
          </w:p>
        </w:tc>
      </w:tr>
      <w:tr w:rsidR="002B4435" w:rsidRPr="001F66E2" w14:paraId="2C49F903" w14:textId="77777777" w:rsidTr="005E2B03">
        <w:trPr>
          <w:trHeight w:val="300"/>
        </w:trPr>
        <w:tc>
          <w:tcPr>
            <w:tcW w:w="1206" w:type="dxa"/>
            <w:tcBorders>
              <w:top w:val="nil"/>
              <w:left w:val="nil"/>
              <w:bottom w:val="nil"/>
              <w:right w:val="nil"/>
            </w:tcBorders>
            <w:shd w:val="clear" w:color="auto" w:fill="auto"/>
            <w:vAlign w:val="center"/>
            <w:hideMark/>
          </w:tcPr>
          <w:p w14:paraId="61076E09"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PT1</w:t>
            </w:r>
          </w:p>
        </w:tc>
        <w:tc>
          <w:tcPr>
            <w:tcW w:w="6662" w:type="dxa"/>
            <w:tcBorders>
              <w:top w:val="nil"/>
              <w:left w:val="nil"/>
              <w:bottom w:val="nil"/>
              <w:right w:val="nil"/>
            </w:tcBorders>
            <w:shd w:val="clear" w:color="auto" w:fill="auto"/>
            <w:vAlign w:val="center"/>
            <w:hideMark/>
          </w:tcPr>
          <w:p w14:paraId="75152DE7"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trust </w:t>
            </w:r>
            <w:r>
              <w:rPr>
                <w:rFonts w:eastAsia="Times New Roman"/>
                <w:iCs/>
                <w:color w:val="000000"/>
                <w:sz w:val="20"/>
                <w:szCs w:val="20"/>
                <w:lang w:val="en-GB" w:eastAsia="fi-FI"/>
              </w:rPr>
              <w:t>the social media</w:t>
            </w:r>
            <w:r w:rsidRPr="001F66E2">
              <w:rPr>
                <w:rFonts w:eastAsia="Times New Roman"/>
                <w:iCs/>
                <w:color w:val="000000"/>
                <w:sz w:val="20"/>
                <w:szCs w:val="20"/>
                <w:lang w:val="en-GB" w:eastAsia="fi-FI"/>
              </w:rPr>
              <w:t xml:space="preserve"> brand.</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488EE091"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0.808</w:t>
            </w:r>
          </w:p>
        </w:tc>
      </w:tr>
      <w:tr w:rsidR="002B4435" w:rsidRPr="001F66E2" w14:paraId="4A48849A" w14:textId="77777777" w:rsidTr="005E2B03">
        <w:trPr>
          <w:trHeight w:val="300"/>
        </w:trPr>
        <w:tc>
          <w:tcPr>
            <w:tcW w:w="1206" w:type="dxa"/>
            <w:tcBorders>
              <w:top w:val="nil"/>
              <w:left w:val="nil"/>
              <w:bottom w:val="nil"/>
              <w:right w:val="nil"/>
            </w:tcBorders>
            <w:shd w:val="clear" w:color="auto" w:fill="auto"/>
            <w:vAlign w:val="center"/>
            <w:hideMark/>
          </w:tcPr>
          <w:p w14:paraId="2CE2B5DE"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PT2</w:t>
            </w:r>
          </w:p>
        </w:tc>
        <w:tc>
          <w:tcPr>
            <w:tcW w:w="6662" w:type="dxa"/>
            <w:tcBorders>
              <w:top w:val="nil"/>
              <w:left w:val="nil"/>
              <w:bottom w:val="nil"/>
              <w:right w:val="nil"/>
            </w:tcBorders>
            <w:shd w:val="clear" w:color="auto" w:fill="auto"/>
            <w:vAlign w:val="center"/>
            <w:hideMark/>
          </w:tcPr>
          <w:p w14:paraId="1067CDF5"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rely on </w:t>
            </w:r>
            <w:r>
              <w:rPr>
                <w:rFonts w:eastAsia="Times New Roman"/>
                <w:iCs/>
                <w:color w:val="000000"/>
                <w:sz w:val="20"/>
                <w:szCs w:val="20"/>
                <w:lang w:val="en-GB" w:eastAsia="fi-FI"/>
              </w:rPr>
              <w:t>the social media</w:t>
            </w:r>
            <w:r w:rsidRPr="001F66E2">
              <w:rPr>
                <w:rFonts w:eastAsia="Times New Roman"/>
                <w:iCs/>
                <w:color w:val="000000"/>
                <w:sz w:val="20"/>
                <w:szCs w:val="20"/>
                <w:lang w:val="en-GB" w:eastAsia="fi-FI"/>
              </w:rPr>
              <w:t xml:space="preserve"> brand community.</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7954EE57"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0.803</w:t>
            </w:r>
          </w:p>
        </w:tc>
      </w:tr>
      <w:tr w:rsidR="002B4435" w:rsidRPr="001F66E2" w14:paraId="65D31783" w14:textId="77777777" w:rsidTr="005E2B03">
        <w:trPr>
          <w:trHeight w:val="300"/>
        </w:trPr>
        <w:tc>
          <w:tcPr>
            <w:tcW w:w="1206" w:type="dxa"/>
            <w:tcBorders>
              <w:top w:val="nil"/>
              <w:left w:val="nil"/>
              <w:bottom w:val="nil"/>
              <w:right w:val="nil"/>
            </w:tcBorders>
            <w:shd w:val="clear" w:color="auto" w:fill="auto"/>
            <w:vAlign w:val="center"/>
            <w:hideMark/>
          </w:tcPr>
          <w:p w14:paraId="5B13F1AB"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PT3</w:t>
            </w:r>
          </w:p>
        </w:tc>
        <w:tc>
          <w:tcPr>
            <w:tcW w:w="6662" w:type="dxa"/>
            <w:tcBorders>
              <w:top w:val="nil"/>
              <w:left w:val="nil"/>
              <w:bottom w:val="nil"/>
              <w:right w:val="nil"/>
            </w:tcBorders>
            <w:shd w:val="clear" w:color="auto" w:fill="auto"/>
            <w:vAlign w:val="center"/>
            <w:hideMark/>
          </w:tcPr>
          <w:p w14:paraId="272B1247"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‘The social media</w:t>
            </w:r>
            <w:r w:rsidRPr="001F66E2">
              <w:rPr>
                <w:rFonts w:eastAsia="Times New Roman"/>
                <w:iCs/>
                <w:color w:val="000000"/>
                <w:sz w:val="20"/>
                <w:szCs w:val="20"/>
                <w:lang w:val="en-GB" w:eastAsia="fi-FI"/>
              </w:rPr>
              <w:t xml:space="preserve"> brand </w:t>
            </w:r>
            <w:r>
              <w:rPr>
                <w:rFonts w:eastAsia="Times New Roman"/>
                <w:iCs/>
                <w:color w:val="000000"/>
                <w:sz w:val="20"/>
                <w:szCs w:val="20"/>
                <w:lang w:val="en-GB" w:eastAsia="fi-FI"/>
              </w:rPr>
              <w:t xml:space="preserve">has </w:t>
            </w:r>
            <w:r w:rsidRPr="001F66E2">
              <w:rPr>
                <w:rFonts w:eastAsia="Times New Roman"/>
                <w:iCs/>
                <w:color w:val="000000"/>
                <w:sz w:val="20"/>
                <w:szCs w:val="20"/>
                <w:lang w:val="en-GB" w:eastAsia="fi-FI"/>
              </w:rPr>
              <w:t>an honest product/service page.</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3A68E983"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0.798</w:t>
            </w:r>
          </w:p>
        </w:tc>
      </w:tr>
      <w:tr w:rsidR="002B4435" w:rsidRPr="001F66E2" w14:paraId="33BFAD56" w14:textId="77777777" w:rsidTr="005E2B03">
        <w:trPr>
          <w:trHeight w:val="300"/>
        </w:trPr>
        <w:tc>
          <w:tcPr>
            <w:tcW w:w="1206" w:type="dxa"/>
            <w:tcBorders>
              <w:top w:val="nil"/>
              <w:left w:val="nil"/>
              <w:bottom w:val="nil"/>
              <w:right w:val="nil"/>
            </w:tcBorders>
            <w:shd w:val="clear" w:color="auto" w:fill="auto"/>
            <w:vAlign w:val="center"/>
            <w:hideMark/>
          </w:tcPr>
          <w:p w14:paraId="6E39DD05"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PT4</w:t>
            </w:r>
          </w:p>
        </w:tc>
        <w:tc>
          <w:tcPr>
            <w:tcW w:w="6662" w:type="dxa"/>
            <w:tcBorders>
              <w:top w:val="nil"/>
              <w:left w:val="nil"/>
              <w:bottom w:val="nil"/>
              <w:right w:val="nil"/>
            </w:tcBorders>
            <w:shd w:val="clear" w:color="auto" w:fill="auto"/>
            <w:vAlign w:val="center"/>
            <w:hideMark/>
          </w:tcPr>
          <w:p w14:paraId="3CE10041"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‘The social media</w:t>
            </w:r>
            <w:r w:rsidRPr="001F66E2">
              <w:rPr>
                <w:rFonts w:eastAsia="Times New Roman"/>
                <w:iCs/>
                <w:color w:val="000000"/>
                <w:sz w:val="20"/>
                <w:szCs w:val="20"/>
                <w:lang w:val="en-GB" w:eastAsia="fi-FI"/>
              </w:rPr>
              <w:t xml:space="preserve"> brand </w:t>
            </w:r>
            <w:r>
              <w:rPr>
                <w:rFonts w:eastAsia="Times New Roman"/>
                <w:iCs/>
                <w:color w:val="000000"/>
                <w:sz w:val="20"/>
                <w:szCs w:val="20"/>
                <w:lang w:val="en-GB" w:eastAsia="fi-FI"/>
              </w:rPr>
              <w:t xml:space="preserve">page </w:t>
            </w:r>
            <w:r w:rsidRPr="001F66E2">
              <w:rPr>
                <w:rFonts w:eastAsia="Times New Roman"/>
                <w:iCs/>
                <w:color w:val="000000"/>
                <w:sz w:val="20"/>
                <w:szCs w:val="20"/>
                <w:lang w:val="en-GB" w:eastAsia="fi-FI"/>
              </w:rPr>
              <w:t>is safe to use.</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1ED385C6"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0.772</w:t>
            </w:r>
          </w:p>
        </w:tc>
      </w:tr>
      <w:tr w:rsidR="002B4435" w:rsidRPr="001F66E2" w14:paraId="593C1551" w14:textId="77777777" w:rsidTr="005E2B03">
        <w:trPr>
          <w:trHeight w:val="300"/>
        </w:trPr>
        <w:tc>
          <w:tcPr>
            <w:tcW w:w="7868" w:type="dxa"/>
            <w:gridSpan w:val="2"/>
            <w:tcBorders>
              <w:top w:val="nil"/>
              <w:left w:val="nil"/>
              <w:bottom w:val="nil"/>
              <w:right w:val="nil"/>
            </w:tcBorders>
            <w:shd w:val="clear" w:color="auto" w:fill="auto"/>
            <w:vAlign w:val="center"/>
            <w:hideMark/>
          </w:tcPr>
          <w:p w14:paraId="5B697CC1" w14:textId="77777777" w:rsidR="002B4435" w:rsidRPr="001F66E2" w:rsidRDefault="002B4435" w:rsidP="005E2B03">
            <w:pPr>
              <w:spacing w:after="0" w:line="240" w:lineRule="auto"/>
              <w:rPr>
                <w:rFonts w:eastAsia="Times New Roman"/>
                <w:b/>
                <w:bCs/>
                <w:color w:val="000000"/>
                <w:sz w:val="20"/>
                <w:szCs w:val="20"/>
                <w:lang w:val="en-GB" w:eastAsia="fi-FI"/>
              </w:rPr>
            </w:pPr>
            <w:r>
              <w:rPr>
                <w:rFonts w:eastAsia="Times New Roman"/>
                <w:b/>
                <w:bCs/>
                <w:iCs/>
                <w:color w:val="000000"/>
                <w:sz w:val="20"/>
                <w:szCs w:val="20"/>
                <w:lang w:val="en-GB" w:eastAsia="fi-FI"/>
              </w:rPr>
              <w:t>Social media</w:t>
            </w:r>
            <w:r w:rsidRPr="001F66E2">
              <w:rPr>
                <w:rFonts w:eastAsia="Times New Roman"/>
                <w:b/>
                <w:bCs/>
                <w:iCs/>
                <w:color w:val="000000"/>
                <w:sz w:val="20"/>
                <w:szCs w:val="20"/>
                <w:lang w:val="en-GB" w:eastAsia="fi-FI"/>
              </w:rPr>
              <w:t xml:space="preserve"> brand community participation </w:t>
            </w:r>
            <w:r w:rsidRPr="001F66E2">
              <w:rPr>
                <w:rFonts w:eastAsia="Times New Roman"/>
                <w:iCs/>
                <w:color w:val="000000"/>
                <w:sz w:val="20"/>
                <w:szCs w:val="20"/>
                <w:lang w:val="en-GB" w:eastAsia="fi-FI"/>
              </w:rPr>
              <w:t>(α</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0.815</w:t>
            </w: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 CR</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0.892</w:t>
            </w: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 AVE</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0.591)</w:t>
            </w:r>
          </w:p>
        </w:tc>
        <w:tc>
          <w:tcPr>
            <w:tcW w:w="2268" w:type="dxa"/>
            <w:tcBorders>
              <w:top w:val="nil"/>
              <w:left w:val="nil"/>
              <w:bottom w:val="nil"/>
              <w:right w:val="nil"/>
            </w:tcBorders>
            <w:shd w:val="clear" w:color="auto" w:fill="auto"/>
            <w:vAlign w:val="bottom"/>
            <w:hideMark/>
          </w:tcPr>
          <w:p w14:paraId="78E3E102" w14:textId="77777777" w:rsidR="002B4435" w:rsidRPr="001F66E2" w:rsidRDefault="002B4435" w:rsidP="005E2B03">
            <w:pPr>
              <w:spacing w:after="0" w:line="240" w:lineRule="auto"/>
              <w:rPr>
                <w:rFonts w:eastAsia="Times New Roman"/>
                <w:b/>
                <w:bCs/>
                <w:color w:val="000000"/>
                <w:sz w:val="20"/>
                <w:szCs w:val="20"/>
                <w:lang w:val="en-GB" w:eastAsia="fi-FI"/>
              </w:rPr>
            </w:pPr>
          </w:p>
        </w:tc>
      </w:tr>
      <w:tr w:rsidR="002B4435" w:rsidRPr="001F66E2" w14:paraId="19E91C09" w14:textId="77777777" w:rsidTr="005E2B03">
        <w:trPr>
          <w:trHeight w:val="510"/>
        </w:trPr>
        <w:tc>
          <w:tcPr>
            <w:tcW w:w="1206" w:type="dxa"/>
            <w:tcBorders>
              <w:top w:val="nil"/>
              <w:left w:val="nil"/>
              <w:bottom w:val="nil"/>
              <w:right w:val="nil"/>
            </w:tcBorders>
            <w:shd w:val="clear" w:color="auto" w:fill="auto"/>
            <w:vAlign w:val="center"/>
            <w:hideMark/>
          </w:tcPr>
          <w:p w14:paraId="710AAD8C"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SMCP1</w:t>
            </w:r>
          </w:p>
        </w:tc>
        <w:tc>
          <w:tcPr>
            <w:tcW w:w="6662" w:type="dxa"/>
            <w:tcBorders>
              <w:top w:val="nil"/>
              <w:left w:val="nil"/>
              <w:bottom w:val="nil"/>
              <w:right w:val="nil"/>
            </w:tcBorders>
            <w:shd w:val="clear" w:color="auto" w:fill="auto"/>
            <w:vAlign w:val="center"/>
            <w:hideMark/>
          </w:tcPr>
          <w:p w14:paraId="41B0CDFE"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feel enthusiastic, interested and happy </w:t>
            </w:r>
            <w:r>
              <w:rPr>
                <w:rFonts w:eastAsia="Times New Roman"/>
                <w:iCs/>
                <w:color w:val="000000"/>
                <w:sz w:val="20"/>
                <w:szCs w:val="20"/>
                <w:lang w:val="en-GB" w:eastAsia="fi-FI"/>
              </w:rPr>
              <w:t xml:space="preserve">when I interact </w:t>
            </w:r>
            <w:r w:rsidRPr="001F66E2">
              <w:rPr>
                <w:rFonts w:eastAsia="Times New Roman"/>
                <w:iCs/>
                <w:color w:val="000000"/>
                <w:sz w:val="20"/>
                <w:szCs w:val="20"/>
                <w:lang w:val="en-GB" w:eastAsia="fi-FI"/>
              </w:rPr>
              <w:t xml:space="preserve">with </w:t>
            </w:r>
            <w:r>
              <w:rPr>
                <w:rFonts w:eastAsia="Times New Roman"/>
                <w:iCs/>
                <w:color w:val="000000"/>
                <w:sz w:val="20"/>
                <w:szCs w:val="20"/>
                <w:lang w:val="en-GB" w:eastAsia="fi-FI"/>
              </w:rPr>
              <w:t xml:space="preserve">the </w:t>
            </w:r>
            <w:r w:rsidRPr="001F66E2">
              <w:rPr>
                <w:rFonts w:eastAsia="Times New Roman"/>
                <w:iCs/>
                <w:color w:val="000000"/>
                <w:sz w:val="20"/>
                <w:szCs w:val="20"/>
                <w:lang w:val="en-GB" w:eastAsia="fi-FI"/>
              </w:rPr>
              <w:t>company’s social media pages.</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36DB661C"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0.658</w:t>
            </w:r>
          </w:p>
        </w:tc>
      </w:tr>
      <w:tr w:rsidR="002B4435" w:rsidRPr="001F66E2" w14:paraId="4DF0771C" w14:textId="77777777" w:rsidTr="005E2B03">
        <w:trPr>
          <w:trHeight w:val="300"/>
        </w:trPr>
        <w:tc>
          <w:tcPr>
            <w:tcW w:w="1206" w:type="dxa"/>
            <w:tcBorders>
              <w:top w:val="nil"/>
              <w:left w:val="nil"/>
              <w:bottom w:val="nil"/>
              <w:right w:val="nil"/>
            </w:tcBorders>
            <w:shd w:val="clear" w:color="auto" w:fill="auto"/>
            <w:vAlign w:val="center"/>
            <w:hideMark/>
          </w:tcPr>
          <w:p w14:paraId="1EE55346"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SMCP2</w:t>
            </w:r>
          </w:p>
        </w:tc>
        <w:tc>
          <w:tcPr>
            <w:tcW w:w="6662" w:type="dxa"/>
            <w:tcBorders>
              <w:top w:val="nil"/>
              <w:left w:val="nil"/>
              <w:bottom w:val="nil"/>
              <w:right w:val="nil"/>
            </w:tcBorders>
            <w:shd w:val="clear" w:color="auto" w:fill="auto"/>
            <w:vAlign w:val="center"/>
            <w:hideMark/>
          </w:tcPr>
          <w:p w14:paraId="5EB85B47"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get pleasure from interacting with </w:t>
            </w:r>
            <w:r>
              <w:rPr>
                <w:rFonts w:eastAsia="Times New Roman"/>
                <w:iCs/>
                <w:color w:val="000000"/>
                <w:sz w:val="20"/>
                <w:szCs w:val="20"/>
                <w:lang w:val="en-GB" w:eastAsia="fi-FI"/>
              </w:rPr>
              <w:t xml:space="preserve">the </w:t>
            </w:r>
            <w:r w:rsidRPr="001F66E2">
              <w:rPr>
                <w:rFonts w:eastAsia="Times New Roman"/>
                <w:iCs/>
                <w:color w:val="000000"/>
                <w:sz w:val="20"/>
                <w:szCs w:val="20"/>
                <w:lang w:val="en-GB" w:eastAsia="fi-FI"/>
              </w:rPr>
              <w:t>company’s social media pages.</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61928B22"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0.637</w:t>
            </w:r>
          </w:p>
        </w:tc>
      </w:tr>
      <w:tr w:rsidR="002B4435" w:rsidRPr="001F66E2" w14:paraId="616DE4ED" w14:textId="77777777" w:rsidTr="005E2B03">
        <w:trPr>
          <w:trHeight w:val="300"/>
        </w:trPr>
        <w:tc>
          <w:tcPr>
            <w:tcW w:w="1206" w:type="dxa"/>
            <w:tcBorders>
              <w:top w:val="nil"/>
              <w:left w:val="nil"/>
              <w:bottom w:val="nil"/>
              <w:right w:val="nil"/>
            </w:tcBorders>
            <w:shd w:val="clear" w:color="auto" w:fill="auto"/>
            <w:vAlign w:val="center"/>
            <w:hideMark/>
          </w:tcPr>
          <w:p w14:paraId="1D164C42"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SMCP3</w:t>
            </w:r>
          </w:p>
        </w:tc>
        <w:tc>
          <w:tcPr>
            <w:tcW w:w="6662" w:type="dxa"/>
            <w:tcBorders>
              <w:top w:val="nil"/>
              <w:left w:val="nil"/>
              <w:bottom w:val="nil"/>
              <w:right w:val="nil"/>
            </w:tcBorders>
            <w:shd w:val="clear" w:color="auto" w:fill="auto"/>
            <w:vAlign w:val="center"/>
            <w:hideMark/>
          </w:tcPr>
          <w:p w14:paraId="7B7846B5"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share my ideas and interesting content </w:t>
            </w:r>
            <w:r>
              <w:rPr>
                <w:rFonts w:eastAsia="Times New Roman"/>
                <w:iCs/>
                <w:color w:val="000000"/>
                <w:sz w:val="20"/>
                <w:szCs w:val="20"/>
                <w:lang w:val="en-GB" w:eastAsia="fi-FI"/>
              </w:rPr>
              <w:t xml:space="preserve">in the </w:t>
            </w:r>
            <w:r w:rsidRPr="001F66E2">
              <w:rPr>
                <w:rFonts w:eastAsia="Times New Roman"/>
                <w:iCs/>
                <w:color w:val="000000"/>
                <w:sz w:val="20"/>
                <w:szCs w:val="20"/>
                <w:lang w:val="en-GB" w:eastAsia="fi-FI"/>
              </w:rPr>
              <w:t>company’s social media brand pages.</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503D7993"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0.635</w:t>
            </w:r>
          </w:p>
        </w:tc>
      </w:tr>
      <w:tr w:rsidR="002B4435" w:rsidRPr="001F66E2" w14:paraId="26180DA4" w14:textId="77777777" w:rsidTr="005E2B03">
        <w:trPr>
          <w:trHeight w:val="300"/>
        </w:trPr>
        <w:tc>
          <w:tcPr>
            <w:tcW w:w="1206" w:type="dxa"/>
            <w:tcBorders>
              <w:top w:val="nil"/>
              <w:left w:val="nil"/>
              <w:bottom w:val="nil"/>
              <w:right w:val="nil"/>
            </w:tcBorders>
            <w:shd w:val="clear" w:color="auto" w:fill="auto"/>
            <w:vAlign w:val="center"/>
            <w:hideMark/>
          </w:tcPr>
          <w:p w14:paraId="4FF440D9"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SMCP4</w:t>
            </w:r>
          </w:p>
        </w:tc>
        <w:tc>
          <w:tcPr>
            <w:tcW w:w="6662" w:type="dxa"/>
            <w:tcBorders>
              <w:top w:val="nil"/>
              <w:left w:val="nil"/>
              <w:bottom w:val="nil"/>
              <w:right w:val="nil"/>
            </w:tcBorders>
            <w:shd w:val="clear" w:color="auto" w:fill="auto"/>
            <w:vAlign w:val="center"/>
            <w:hideMark/>
          </w:tcPr>
          <w:p w14:paraId="68689C1F"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help other consumers in </w:t>
            </w:r>
            <w:r>
              <w:rPr>
                <w:rFonts w:eastAsia="Times New Roman"/>
                <w:iCs/>
                <w:color w:val="000000"/>
                <w:sz w:val="20"/>
                <w:szCs w:val="20"/>
                <w:lang w:val="en-GB" w:eastAsia="fi-FI"/>
              </w:rPr>
              <w:t xml:space="preserve">the </w:t>
            </w:r>
            <w:r w:rsidRPr="001F66E2">
              <w:rPr>
                <w:rFonts w:eastAsia="Times New Roman"/>
                <w:iCs/>
                <w:color w:val="000000"/>
                <w:sz w:val="20"/>
                <w:szCs w:val="20"/>
                <w:lang w:val="en-GB" w:eastAsia="fi-FI"/>
              </w:rPr>
              <w:t>company’s social media pages.</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103A428E"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0.708</w:t>
            </w:r>
          </w:p>
        </w:tc>
      </w:tr>
      <w:tr w:rsidR="002B4435" w:rsidRPr="001F66E2" w14:paraId="0590C1CB" w14:textId="77777777" w:rsidTr="005E2B03">
        <w:trPr>
          <w:trHeight w:val="300"/>
        </w:trPr>
        <w:tc>
          <w:tcPr>
            <w:tcW w:w="1206" w:type="dxa"/>
            <w:tcBorders>
              <w:top w:val="nil"/>
              <w:left w:val="nil"/>
              <w:bottom w:val="nil"/>
              <w:right w:val="nil"/>
            </w:tcBorders>
            <w:shd w:val="clear" w:color="auto" w:fill="auto"/>
            <w:vAlign w:val="center"/>
            <w:hideMark/>
          </w:tcPr>
          <w:p w14:paraId="03D00E12"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SMCP5</w:t>
            </w:r>
          </w:p>
        </w:tc>
        <w:tc>
          <w:tcPr>
            <w:tcW w:w="6662" w:type="dxa"/>
            <w:tcBorders>
              <w:top w:val="nil"/>
              <w:left w:val="nil"/>
              <w:bottom w:val="nil"/>
              <w:right w:val="nil"/>
            </w:tcBorders>
            <w:shd w:val="clear" w:color="auto" w:fill="auto"/>
            <w:vAlign w:val="center"/>
            <w:hideMark/>
          </w:tcPr>
          <w:p w14:paraId="5FB87292"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ask questions at </w:t>
            </w:r>
            <w:r>
              <w:rPr>
                <w:rFonts w:eastAsia="Times New Roman"/>
                <w:iCs/>
                <w:color w:val="000000"/>
                <w:sz w:val="20"/>
                <w:szCs w:val="20"/>
                <w:lang w:val="en-GB" w:eastAsia="fi-FI"/>
              </w:rPr>
              <w:t xml:space="preserve">the company’s </w:t>
            </w:r>
            <w:r w:rsidRPr="001F66E2">
              <w:rPr>
                <w:rFonts w:eastAsia="Times New Roman"/>
                <w:iCs/>
                <w:color w:val="000000"/>
                <w:sz w:val="20"/>
                <w:szCs w:val="20"/>
                <w:lang w:val="en-GB" w:eastAsia="fi-FI"/>
              </w:rPr>
              <w:t>social media pages.</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4210476C"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Removed</w:t>
            </w:r>
          </w:p>
        </w:tc>
      </w:tr>
      <w:tr w:rsidR="002B4435" w:rsidRPr="001F66E2" w14:paraId="7377D12C" w14:textId="77777777" w:rsidTr="005E2B03">
        <w:trPr>
          <w:trHeight w:val="300"/>
        </w:trPr>
        <w:tc>
          <w:tcPr>
            <w:tcW w:w="1206" w:type="dxa"/>
            <w:tcBorders>
              <w:top w:val="nil"/>
              <w:left w:val="nil"/>
              <w:bottom w:val="nil"/>
              <w:right w:val="nil"/>
            </w:tcBorders>
            <w:shd w:val="clear" w:color="auto" w:fill="auto"/>
            <w:vAlign w:val="center"/>
            <w:hideMark/>
          </w:tcPr>
          <w:p w14:paraId="1D674E22"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SMCP6</w:t>
            </w:r>
          </w:p>
        </w:tc>
        <w:tc>
          <w:tcPr>
            <w:tcW w:w="6662" w:type="dxa"/>
            <w:tcBorders>
              <w:top w:val="nil"/>
              <w:left w:val="nil"/>
              <w:bottom w:val="nil"/>
              <w:right w:val="nil"/>
            </w:tcBorders>
            <w:shd w:val="clear" w:color="auto" w:fill="auto"/>
            <w:vAlign w:val="center"/>
            <w:hideMark/>
          </w:tcPr>
          <w:p w14:paraId="1F2D2979"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seek ideas and information from </w:t>
            </w:r>
            <w:r>
              <w:rPr>
                <w:rFonts w:eastAsia="Times New Roman"/>
                <w:iCs/>
                <w:color w:val="000000"/>
                <w:sz w:val="20"/>
                <w:szCs w:val="20"/>
                <w:lang w:val="en-GB" w:eastAsia="fi-FI"/>
              </w:rPr>
              <w:t xml:space="preserve">the </w:t>
            </w:r>
            <w:r w:rsidRPr="001F66E2">
              <w:rPr>
                <w:rFonts w:eastAsia="Times New Roman"/>
                <w:iCs/>
                <w:color w:val="000000"/>
                <w:sz w:val="20"/>
                <w:szCs w:val="20"/>
                <w:lang w:val="en-GB" w:eastAsia="fi-FI"/>
              </w:rPr>
              <w:t xml:space="preserve">company’s </w:t>
            </w:r>
            <w:r>
              <w:rPr>
                <w:rFonts w:eastAsia="Times New Roman"/>
                <w:iCs/>
                <w:color w:val="000000"/>
                <w:sz w:val="20"/>
                <w:szCs w:val="20"/>
                <w:lang w:val="en-GB" w:eastAsia="fi-FI"/>
              </w:rPr>
              <w:t>social media</w:t>
            </w:r>
            <w:r w:rsidRPr="001F66E2">
              <w:rPr>
                <w:rFonts w:eastAsia="Times New Roman"/>
                <w:iCs/>
                <w:color w:val="000000"/>
                <w:sz w:val="20"/>
                <w:szCs w:val="20"/>
                <w:lang w:val="en-GB" w:eastAsia="fi-FI"/>
              </w:rPr>
              <w:t xml:space="preserve"> pages.</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229CC680"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color w:val="000000"/>
                <w:sz w:val="20"/>
                <w:szCs w:val="20"/>
                <w:lang w:val="en-GB" w:eastAsia="fi-FI"/>
              </w:rPr>
              <w:t>Removed</w:t>
            </w:r>
          </w:p>
        </w:tc>
      </w:tr>
      <w:tr w:rsidR="002B4435" w:rsidRPr="001F66E2" w14:paraId="4CACF97C" w14:textId="77777777" w:rsidTr="005E2B03">
        <w:trPr>
          <w:trHeight w:val="300"/>
        </w:trPr>
        <w:tc>
          <w:tcPr>
            <w:tcW w:w="1206" w:type="dxa"/>
            <w:tcBorders>
              <w:top w:val="nil"/>
              <w:left w:val="nil"/>
              <w:bottom w:val="nil"/>
              <w:right w:val="nil"/>
            </w:tcBorders>
            <w:shd w:val="clear" w:color="auto" w:fill="auto"/>
            <w:vAlign w:val="center"/>
            <w:hideMark/>
          </w:tcPr>
          <w:p w14:paraId="56A0796C"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SMCP7</w:t>
            </w:r>
          </w:p>
        </w:tc>
        <w:tc>
          <w:tcPr>
            <w:tcW w:w="6662" w:type="dxa"/>
            <w:tcBorders>
              <w:top w:val="nil"/>
              <w:left w:val="nil"/>
              <w:bottom w:val="nil"/>
              <w:right w:val="nil"/>
            </w:tcBorders>
            <w:shd w:val="clear" w:color="auto" w:fill="auto"/>
            <w:vAlign w:val="center"/>
            <w:hideMark/>
          </w:tcPr>
          <w:p w14:paraId="655F0890"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promote and defend </w:t>
            </w:r>
            <w:r>
              <w:rPr>
                <w:rFonts w:eastAsia="Times New Roman"/>
                <w:iCs/>
                <w:color w:val="000000"/>
                <w:sz w:val="20"/>
                <w:szCs w:val="20"/>
                <w:lang w:val="en-GB" w:eastAsia="fi-FI"/>
              </w:rPr>
              <w:t xml:space="preserve">the </w:t>
            </w:r>
            <w:r w:rsidRPr="001F66E2">
              <w:rPr>
                <w:rFonts w:eastAsia="Times New Roman"/>
                <w:iCs/>
                <w:color w:val="000000"/>
                <w:sz w:val="20"/>
                <w:szCs w:val="20"/>
                <w:lang w:val="en-GB" w:eastAsia="fi-FI"/>
              </w:rPr>
              <w:t xml:space="preserve">company’s </w:t>
            </w:r>
            <w:r>
              <w:rPr>
                <w:rFonts w:eastAsia="Times New Roman"/>
                <w:iCs/>
                <w:color w:val="000000"/>
                <w:sz w:val="20"/>
                <w:szCs w:val="20"/>
                <w:lang w:val="en-GB" w:eastAsia="fi-FI"/>
              </w:rPr>
              <w:t>social media</w:t>
            </w:r>
            <w:r w:rsidRPr="001F66E2">
              <w:rPr>
                <w:rFonts w:eastAsia="Times New Roman"/>
                <w:iCs/>
                <w:color w:val="000000"/>
                <w:sz w:val="20"/>
                <w:szCs w:val="20"/>
                <w:lang w:val="en-GB" w:eastAsia="fi-FI"/>
              </w:rPr>
              <w:t xml:space="preserve"> pages.</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09D85E79"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0.725</w:t>
            </w:r>
          </w:p>
        </w:tc>
      </w:tr>
      <w:tr w:rsidR="002B4435" w:rsidRPr="001F66E2" w14:paraId="33C15DBA" w14:textId="77777777" w:rsidTr="005E2B03">
        <w:trPr>
          <w:trHeight w:val="300"/>
        </w:trPr>
        <w:tc>
          <w:tcPr>
            <w:tcW w:w="1206" w:type="dxa"/>
            <w:tcBorders>
              <w:top w:val="nil"/>
              <w:left w:val="nil"/>
              <w:bottom w:val="nil"/>
              <w:right w:val="nil"/>
            </w:tcBorders>
            <w:shd w:val="clear" w:color="auto" w:fill="auto"/>
            <w:vAlign w:val="center"/>
            <w:hideMark/>
          </w:tcPr>
          <w:p w14:paraId="22EBE65C"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SMCP8</w:t>
            </w:r>
          </w:p>
        </w:tc>
        <w:tc>
          <w:tcPr>
            <w:tcW w:w="6662" w:type="dxa"/>
            <w:tcBorders>
              <w:top w:val="nil"/>
              <w:left w:val="nil"/>
              <w:bottom w:val="nil"/>
              <w:right w:val="nil"/>
            </w:tcBorders>
            <w:shd w:val="clear" w:color="auto" w:fill="auto"/>
            <w:vAlign w:val="center"/>
            <w:hideMark/>
          </w:tcPr>
          <w:p w14:paraId="4EF128DE"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I say positive things about </w:t>
            </w:r>
            <w:r>
              <w:rPr>
                <w:rFonts w:eastAsia="Times New Roman"/>
                <w:iCs/>
                <w:color w:val="000000"/>
                <w:sz w:val="20"/>
                <w:szCs w:val="20"/>
                <w:lang w:val="en-GB" w:eastAsia="fi-FI"/>
              </w:rPr>
              <w:t xml:space="preserve">the </w:t>
            </w:r>
            <w:r w:rsidRPr="001F66E2">
              <w:rPr>
                <w:rFonts w:eastAsia="Times New Roman"/>
                <w:iCs/>
                <w:color w:val="000000"/>
                <w:sz w:val="20"/>
                <w:szCs w:val="20"/>
                <w:lang w:val="en-GB" w:eastAsia="fi-FI"/>
              </w:rPr>
              <w:t xml:space="preserve">company’s </w:t>
            </w:r>
            <w:r>
              <w:rPr>
                <w:rFonts w:eastAsia="Times New Roman"/>
                <w:iCs/>
                <w:color w:val="000000"/>
                <w:sz w:val="20"/>
                <w:szCs w:val="20"/>
                <w:lang w:val="en-GB" w:eastAsia="fi-FI"/>
              </w:rPr>
              <w:t>social media</w:t>
            </w:r>
            <w:r w:rsidRPr="001F66E2">
              <w:rPr>
                <w:rFonts w:eastAsia="Times New Roman"/>
                <w:iCs/>
                <w:color w:val="000000"/>
                <w:sz w:val="20"/>
                <w:szCs w:val="20"/>
                <w:lang w:val="en-GB" w:eastAsia="fi-FI"/>
              </w:rPr>
              <w:t xml:space="preserve"> pages to other people.</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14B9B780"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0.649</w:t>
            </w:r>
          </w:p>
        </w:tc>
      </w:tr>
      <w:tr w:rsidR="002B4435" w:rsidRPr="001F66E2" w14:paraId="64A07E82" w14:textId="77777777" w:rsidTr="005E2B03">
        <w:trPr>
          <w:trHeight w:val="300"/>
        </w:trPr>
        <w:tc>
          <w:tcPr>
            <w:tcW w:w="7868" w:type="dxa"/>
            <w:gridSpan w:val="2"/>
            <w:tcBorders>
              <w:top w:val="nil"/>
              <w:left w:val="nil"/>
              <w:bottom w:val="nil"/>
              <w:right w:val="nil"/>
            </w:tcBorders>
            <w:shd w:val="clear" w:color="auto" w:fill="auto"/>
            <w:vAlign w:val="center"/>
            <w:hideMark/>
          </w:tcPr>
          <w:p w14:paraId="1C357334" w14:textId="27E58833" w:rsidR="002B4435" w:rsidRPr="001F66E2" w:rsidRDefault="002B4435" w:rsidP="005E2B03">
            <w:pPr>
              <w:spacing w:after="0" w:line="240" w:lineRule="auto"/>
              <w:rPr>
                <w:rFonts w:eastAsia="Times New Roman"/>
                <w:b/>
                <w:bCs/>
                <w:color w:val="000000"/>
                <w:sz w:val="20"/>
                <w:szCs w:val="20"/>
                <w:lang w:val="en-GB" w:eastAsia="fi-FI"/>
              </w:rPr>
            </w:pPr>
            <w:r>
              <w:rPr>
                <w:rFonts w:eastAsia="Times New Roman"/>
                <w:b/>
                <w:bCs/>
                <w:iCs/>
                <w:color w:val="000000"/>
                <w:sz w:val="20"/>
                <w:szCs w:val="20"/>
                <w:lang w:val="en-GB" w:eastAsia="fi-FI"/>
              </w:rPr>
              <w:t>Social media</w:t>
            </w:r>
            <w:r w:rsidRPr="001F66E2">
              <w:rPr>
                <w:rFonts w:eastAsia="Times New Roman"/>
                <w:b/>
                <w:bCs/>
                <w:iCs/>
                <w:color w:val="000000"/>
                <w:sz w:val="20"/>
                <w:szCs w:val="20"/>
                <w:lang w:val="en-GB" w:eastAsia="fi-FI"/>
              </w:rPr>
              <w:t xml:space="preserve"> brand </w:t>
            </w:r>
            <w:r w:rsidRPr="002C3A63">
              <w:rPr>
                <w:rFonts w:eastAsia="Times New Roman"/>
                <w:b/>
                <w:bCs/>
                <w:sz w:val="20"/>
                <w:szCs w:val="20"/>
                <w:lang w:val="en-GB" w:eastAsia="en-US"/>
              </w:rPr>
              <w:t>representatives’</w:t>
            </w:r>
            <w:r w:rsidRPr="001F66E2">
              <w:rPr>
                <w:rFonts w:eastAsia="Times New Roman"/>
                <w:sz w:val="20"/>
                <w:szCs w:val="20"/>
                <w:lang w:val="en-GB" w:eastAsia="en-US"/>
              </w:rPr>
              <w:t xml:space="preserve"> </w:t>
            </w:r>
            <w:r w:rsidRPr="001F66E2">
              <w:rPr>
                <w:rFonts w:eastAsia="Times New Roman"/>
                <w:b/>
                <w:bCs/>
                <w:iCs/>
                <w:color w:val="000000"/>
                <w:sz w:val="20"/>
                <w:szCs w:val="20"/>
                <w:lang w:val="en-GB" w:eastAsia="fi-FI"/>
              </w:rPr>
              <w:t xml:space="preserve">efforts </w:t>
            </w:r>
            <w:r w:rsidRPr="001F66E2">
              <w:rPr>
                <w:rFonts w:eastAsia="Times New Roman"/>
                <w:iCs/>
                <w:color w:val="000000"/>
                <w:sz w:val="20"/>
                <w:szCs w:val="20"/>
                <w:lang w:val="en-GB" w:eastAsia="fi-FI"/>
              </w:rPr>
              <w:t>(α</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0.821</w:t>
            </w: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 CR</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0.834</w:t>
            </w: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 AVE</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w:t>
            </w:r>
            <w:r>
              <w:rPr>
                <w:rFonts w:eastAsia="Times New Roman"/>
                <w:iCs/>
                <w:color w:val="000000"/>
                <w:sz w:val="20"/>
                <w:szCs w:val="20"/>
                <w:lang w:val="en-GB" w:eastAsia="fi-FI"/>
              </w:rPr>
              <w:t xml:space="preserve"> </w:t>
            </w:r>
            <w:r w:rsidRPr="001F66E2">
              <w:rPr>
                <w:rFonts w:eastAsia="Times New Roman"/>
                <w:iCs/>
                <w:color w:val="000000"/>
                <w:sz w:val="20"/>
                <w:szCs w:val="20"/>
                <w:lang w:val="en-GB" w:eastAsia="fi-FI"/>
              </w:rPr>
              <w:t>0.604)</w:t>
            </w:r>
          </w:p>
        </w:tc>
        <w:tc>
          <w:tcPr>
            <w:tcW w:w="2268" w:type="dxa"/>
            <w:tcBorders>
              <w:top w:val="nil"/>
              <w:left w:val="nil"/>
              <w:bottom w:val="nil"/>
              <w:right w:val="nil"/>
            </w:tcBorders>
            <w:shd w:val="clear" w:color="auto" w:fill="auto"/>
            <w:vAlign w:val="bottom"/>
            <w:hideMark/>
          </w:tcPr>
          <w:p w14:paraId="49914212" w14:textId="77777777" w:rsidR="002B4435" w:rsidRPr="001F66E2" w:rsidRDefault="002B4435" w:rsidP="005E2B03">
            <w:pPr>
              <w:spacing w:after="0" w:line="240" w:lineRule="auto"/>
              <w:rPr>
                <w:rFonts w:eastAsia="Times New Roman"/>
                <w:b/>
                <w:bCs/>
                <w:color w:val="000000"/>
                <w:sz w:val="20"/>
                <w:szCs w:val="20"/>
                <w:lang w:val="en-GB" w:eastAsia="fi-FI"/>
              </w:rPr>
            </w:pPr>
          </w:p>
        </w:tc>
      </w:tr>
      <w:tr w:rsidR="002B4435" w:rsidRPr="001F66E2" w14:paraId="3A1AB525" w14:textId="77777777" w:rsidTr="005E2B03">
        <w:trPr>
          <w:trHeight w:val="510"/>
        </w:trPr>
        <w:tc>
          <w:tcPr>
            <w:tcW w:w="1206" w:type="dxa"/>
            <w:tcBorders>
              <w:top w:val="nil"/>
              <w:left w:val="nil"/>
              <w:bottom w:val="nil"/>
              <w:right w:val="nil"/>
            </w:tcBorders>
            <w:shd w:val="clear" w:color="auto" w:fill="auto"/>
            <w:vAlign w:val="center"/>
            <w:hideMark/>
          </w:tcPr>
          <w:p w14:paraId="7C22367C"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SMRE1</w:t>
            </w:r>
          </w:p>
        </w:tc>
        <w:tc>
          <w:tcPr>
            <w:tcW w:w="6662" w:type="dxa"/>
            <w:tcBorders>
              <w:top w:val="nil"/>
              <w:left w:val="nil"/>
              <w:bottom w:val="nil"/>
              <w:right w:val="nil"/>
            </w:tcBorders>
            <w:shd w:val="clear" w:color="auto" w:fill="auto"/>
            <w:vAlign w:val="center"/>
            <w:hideMark/>
          </w:tcPr>
          <w:p w14:paraId="47913D84"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The company’s </w:t>
            </w:r>
            <w:r>
              <w:rPr>
                <w:rFonts w:eastAsia="Times New Roman"/>
                <w:iCs/>
                <w:color w:val="000000"/>
                <w:sz w:val="20"/>
                <w:szCs w:val="20"/>
                <w:lang w:val="en-GB" w:eastAsia="fi-FI"/>
              </w:rPr>
              <w:t>social media</w:t>
            </w:r>
            <w:r w:rsidRPr="001F66E2">
              <w:rPr>
                <w:rFonts w:eastAsia="Times New Roman"/>
                <w:iCs/>
                <w:color w:val="000000"/>
                <w:sz w:val="20"/>
                <w:szCs w:val="20"/>
                <w:lang w:val="en-GB" w:eastAsia="fi-FI"/>
              </w:rPr>
              <w:t xml:space="preserve"> brand representative</w:t>
            </w:r>
            <w:r>
              <w:rPr>
                <w:rFonts w:eastAsia="Times New Roman"/>
                <w:iCs/>
                <w:color w:val="000000"/>
                <w:sz w:val="20"/>
                <w:szCs w:val="20"/>
                <w:lang w:val="en-GB" w:eastAsia="fi-FI"/>
              </w:rPr>
              <w:t>s</w:t>
            </w:r>
            <w:r w:rsidRPr="001F66E2">
              <w:rPr>
                <w:rFonts w:eastAsia="Times New Roman"/>
                <w:iCs/>
                <w:color w:val="000000"/>
                <w:sz w:val="20"/>
                <w:szCs w:val="20"/>
                <w:lang w:val="en-GB" w:eastAsia="fi-FI"/>
              </w:rPr>
              <w:t xml:space="preserve"> </w:t>
            </w:r>
            <w:r>
              <w:rPr>
                <w:rFonts w:eastAsia="Times New Roman"/>
                <w:iCs/>
                <w:color w:val="000000"/>
                <w:sz w:val="20"/>
                <w:szCs w:val="20"/>
                <w:lang w:val="en-GB" w:eastAsia="fi-FI"/>
              </w:rPr>
              <w:t xml:space="preserve">exert </w:t>
            </w:r>
            <w:r w:rsidRPr="001F66E2">
              <w:rPr>
                <w:rFonts w:eastAsia="Times New Roman"/>
                <w:iCs/>
                <w:color w:val="000000"/>
                <w:sz w:val="20"/>
                <w:szCs w:val="20"/>
                <w:lang w:val="en-GB" w:eastAsia="fi-FI"/>
              </w:rPr>
              <w:t>a lot of energy to deal with consumer incivility situation</w:t>
            </w:r>
            <w:r>
              <w:rPr>
                <w:rFonts w:eastAsia="Times New Roman"/>
                <w:iCs/>
                <w:color w:val="000000"/>
                <w:sz w:val="20"/>
                <w:szCs w:val="20"/>
                <w:lang w:val="en-GB" w:eastAsia="fi-FI"/>
              </w:rPr>
              <w:t>s</w:t>
            </w:r>
            <w:r w:rsidRPr="001F66E2">
              <w:rPr>
                <w:rFonts w:eastAsia="Times New Roman"/>
                <w:iCs/>
                <w:color w:val="000000"/>
                <w:sz w:val="20"/>
                <w:szCs w:val="20"/>
                <w:lang w:val="en-GB" w:eastAsia="fi-FI"/>
              </w:rPr>
              <w:t>.</w:t>
            </w:r>
            <w:r>
              <w:rPr>
                <w:rFonts w:eastAsia="Times New Roman"/>
                <w:iCs/>
                <w:color w:val="000000"/>
                <w:sz w:val="20"/>
                <w:szCs w:val="20"/>
                <w:lang w:val="en-GB" w:eastAsia="fi-FI"/>
              </w:rPr>
              <w:t>’</w:t>
            </w:r>
          </w:p>
        </w:tc>
        <w:tc>
          <w:tcPr>
            <w:tcW w:w="2268" w:type="dxa"/>
            <w:tcBorders>
              <w:top w:val="nil"/>
              <w:left w:val="nil"/>
              <w:bottom w:val="nil"/>
              <w:right w:val="nil"/>
            </w:tcBorders>
            <w:shd w:val="clear" w:color="auto" w:fill="auto"/>
            <w:vAlign w:val="center"/>
            <w:hideMark/>
          </w:tcPr>
          <w:p w14:paraId="29F1BE35"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0.821</w:t>
            </w:r>
          </w:p>
        </w:tc>
      </w:tr>
      <w:tr w:rsidR="002B4435" w:rsidRPr="001F66E2" w14:paraId="20FFDEA9" w14:textId="77777777" w:rsidTr="005E2B03">
        <w:trPr>
          <w:trHeight w:val="510"/>
        </w:trPr>
        <w:tc>
          <w:tcPr>
            <w:tcW w:w="1206" w:type="dxa"/>
            <w:tcBorders>
              <w:top w:val="nil"/>
              <w:left w:val="nil"/>
              <w:bottom w:val="single" w:sz="4" w:space="0" w:color="auto"/>
              <w:right w:val="nil"/>
            </w:tcBorders>
            <w:shd w:val="clear" w:color="auto" w:fill="auto"/>
            <w:vAlign w:val="center"/>
            <w:hideMark/>
          </w:tcPr>
          <w:p w14:paraId="2DA427A1" w14:textId="77777777" w:rsidR="002B4435" w:rsidRPr="001F66E2" w:rsidRDefault="002B4435" w:rsidP="005E2B03">
            <w:pPr>
              <w:spacing w:after="0" w:line="240" w:lineRule="auto"/>
              <w:rPr>
                <w:rFonts w:eastAsia="Times New Roman"/>
                <w:color w:val="000000"/>
                <w:sz w:val="20"/>
                <w:szCs w:val="20"/>
                <w:lang w:val="en-GB" w:eastAsia="fi-FI"/>
              </w:rPr>
            </w:pPr>
            <w:r w:rsidRPr="001F66E2">
              <w:rPr>
                <w:rFonts w:eastAsia="Times New Roman"/>
                <w:iCs/>
                <w:color w:val="000000"/>
                <w:sz w:val="20"/>
                <w:szCs w:val="20"/>
                <w:lang w:val="en-GB" w:eastAsia="fi-FI"/>
              </w:rPr>
              <w:t>SMRE2</w:t>
            </w:r>
          </w:p>
        </w:tc>
        <w:tc>
          <w:tcPr>
            <w:tcW w:w="6662" w:type="dxa"/>
            <w:tcBorders>
              <w:top w:val="nil"/>
              <w:left w:val="nil"/>
              <w:bottom w:val="single" w:sz="4" w:space="0" w:color="auto"/>
              <w:right w:val="nil"/>
            </w:tcBorders>
            <w:shd w:val="clear" w:color="auto" w:fill="auto"/>
            <w:vAlign w:val="center"/>
            <w:hideMark/>
          </w:tcPr>
          <w:p w14:paraId="0D912781" w14:textId="77777777" w:rsidR="002B4435" w:rsidRPr="001F66E2" w:rsidRDefault="002B4435" w:rsidP="005E2B03">
            <w:pPr>
              <w:spacing w:after="0" w:line="240" w:lineRule="auto"/>
              <w:rPr>
                <w:rFonts w:eastAsia="Times New Roman"/>
                <w:color w:val="000000"/>
                <w:sz w:val="20"/>
                <w:szCs w:val="20"/>
                <w:lang w:val="en-GB" w:eastAsia="fi-FI"/>
              </w:rPr>
            </w:pPr>
            <w:r>
              <w:rPr>
                <w:rFonts w:eastAsia="Times New Roman"/>
                <w:iCs/>
                <w:color w:val="000000"/>
                <w:sz w:val="20"/>
                <w:szCs w:val="20"/>
                <w:lang w:val="en-GB" w:eastAsia="fi-FI"/>
              </w:rPr>
              <w:t>‘</w:t>
            </w:r>
            <w:r w:rsidRPr="001F66E2">
              <w:rPr>
                <w:rFonts w:eastAsia="Times New Roman"/>
                <w:iCs/>
                <w:color w:val="000000"/>
                <w:sz w:val="20"/>
                <w:szCs w:val="20"/>
                <w:lang w:val="en-GB" w:eastAsia="fi-FI"/>
              </w:rPr>
              <w:t xml:space="preserve">The company’s </w:t>
            </w:r>
            <w:r>
              <w:rPr>
                <w:rFonts w:eastAsia="Times New Roman"/>
                <w:iCs/>
                <w:color w:val="000000"/>
                <w:sz w:val="20"/>
                <w:szCs w:val="20"/>
                <w:lang w:val="en-GB" w:eastAsia="fi-FI"/>
              </w:rPr>
              <w:t>social media</w:t>
            </w:r>
            <w:r w:rsidRPr="001F66E2">
              <w:rPr>
                <w:rFonts w:eastAsia="Times New Roman"/>
                <w:iCs/>
                <w:color w:val="000000"/>
                <w:sz w:val="20"/>
                <w:szCs w:val="20"/>
                <w:lang w:val="en-GB" w:eastAsia="fi-FI"/>
              </w:rPr>
              <w:t xml:space="preserve"> brand representative</w:t>
            </w:r>
            <w:r>
              <w:rPr>
                <w:rFonts w:eastAsia="Times New Roman"/>
                <w:iCs/>
                <w:color w:val="000000"/>
                <w:sz w:val="20"/>
                <w:szCs w:val="20"/>
                <w:lang w:val="en-GB" w:eastAsia="fi-FI"/>
              </w:rPr>
              <w:t>s</w:t>
            </w:r>
            <w:r w:rsidRPr="001F66E2">
              <w:rPr>
                <w:rFonts w:eastAsia="Times New Roman"/>
                <w:iCs/>
                <w:color w:val="000000"/>
                <w:sz w:val="20"/>
                <w:szCs w:val="20"/>
                <w:lang w:val="en-GB" w:eastAsia="fi-FI"/>
              </w:rPr>
              <w:t xml:space="preserve"> </w:t>
            </w:r>
            <w:r>
              <w:rPr>
                <w:rFonts w:eastAsia="Times New Roman"/>
                <w:iCs/>
                <w:color w:val="000000"/>
                <w:sz w:val="20"/>
                <w:szCs w:val="20"/>
                <w:lang w:val="en-GB" w:eastAsia="fi-FI"/>
              </w:rPr>
              <w:t xml:space="preserve">exert much </w:t>
            </w:r>
            <w:r w:rsidRPr="001F66E2">
              <w:rPr>
                <w:rFonts w:eastAsia="Times New Roman"/>
                <w:iCs/>
                <w:color w:val="000000"/>
                <w:sz w:val="20"/>
                <w:szCs w:val="20"/>
                <w:lang w:val="en-GB" w:eastAsia="fi-FI"/>
              </w:rPr>
              <w:t>effort to resolve consumer incivility</w:t>
            </w:r>
            <w:r>
              <w:rPr>
                <w:rFonts w:eastAsia="Times New Roman"/>
                <w:iCs/>
                <w:color w:val="000000"/>
                <w:sz w:val="20"/>
                <w:szCs w:val="20"/>
                <w:lang w:val="en-GB" w:eastAsia="fi-FI"/>
              </w:rPr>
              <w:t xml:space="preserve"> situations</w:t>
            </w:r>
            <w:r w:rsidRPr="001F66E2">
              <w:rPr>
                <w:rFonts w:eastAsia="Times New Roman"/>
                <w:iCs/>
                <w:color w:val="000000"/>
                <w:sz w:val="20"/>
                <w:szCs w:val="20"/>
                <w:lang w:val="en-GB" w:eastAsia="fi-FI"/>
              </w:rPr>
              <w:t>.</w:t>
            </w:r>
            <w:r>
              <w:rPr>
                <w:rFonts w:eastAsia="Times New Roman"/>
                <w:iCs/>
                <w:color w:val="000000"/>
                <w:sz w:val="20"/>
                <w:szCs w:val="20"/>
                <w:lang w:val="en-GB" w:eastAsia="fi-FI"/>
              </w:rPr>
              <w:t>’</w:t>
            </w:r>
          </w:p>
        </w:tc>
        <w:tc>
          <w:tcPr>
            <w:tcW w:w="2268" w:type="dxa"/>
            <w:tcBorders>
              <w:top w:val="nil"/>
              <w:left w:val="nil"/>
              <w:bottom w:val="single" w:sz="4" w:space="0" w:color="auto"/>
              <w:right w:val="nil"/>
            </w:tcBorders>
            <w:shd w:val="clear" w:color="auto" w:fill="auto"/>
            <w:vAlign w:val="center"/>
            <w:hideMark/>
          </w:tcPr>
          <w:p w14:paraId="14A53571" w14:textId="77777777" w:rsidR="002B4435" w:rsidRPr="001F66E2" w:rsidRDefault="002B4435" w:rsidP="005E2B03">
            <w:pPr>
              <w:spacing w:after="0" w:line="240" w:lineRule="auto"/>
              <w:jc w:val="center"/>
              <w:rPr>
                <w:rFonts w:eastAsia="Times New Roman"/>
                <w:color w:val="000000"/>
                <w:sz w:val="20"/>
                <w:szCs w:val="20"/>
                <w:lang w:val="en-GB" w:eastAsia="fi-FI"/>
              </w:rPr>
            </w:pPr>
            <w:r w:rsidRPr="001F66E2">
              <w:rPr>
                <w:rFonts w:eastAsia="Times New Roman"/>
                <w:iCs/>
                <w:color w:val="000000"/>
                <w:sz w:val="20"/>
                <w:szCs w:val="20"/>
                <w:lang w:val="en-GB" w:eastAsia="fi-FI"/>
              </w:rPr>
              <w:t>0.807</w:t>
            </w:r>
          </w:p>
        </w:tc>
      </w:tr>
    </w:tbl>
    <w:p w14:paraId="130DAC20" w14:textId="77777777" w:rsidR="002B4435" w:rsidRPr="001F66E2" w:rsidRDefault="002B4435" w:rsidP="002B4435">
      <w:pPr>
        <w:pBdr>
          <w:top w:val="nil"/>
          <w:left w:val="nil"/>
          <w:bottom w:val="nil"/>
          <w:right w:val="nil"/>
          <w:between w:val="nil"/>
        </w:pBdr>
        <w:spacing w:after="0" w:line="240" w:lineRule="auto"/>
        <w:rPr>
          <w:sz w:val="20"/>
          <w:szCs w:val="20"/>
          <w:lang w:val="en-GB"/>
        </w:rPr>
      </w:pPr>
      <w:r w:rsidRPr="001F66E2">
        <w:rPr>
          <w:sz w:val="20"/>
          <w:szCs w:val="20"/>
          <w:lang w:val="en-GB"/>
        </w:rPr>
        <w:t>CR = composite reliability; AVE = average variance extracted</w:t>
      </w:r>
    </w:p>
    <w:p w14:paraId="0E90F9FB" w14:textId="77777777" w:rsidR="002B4435" w:rsidRPr="001F66E2" w:rsidRDefault="002B4435" w:rsidP="002B4435">
      <w:pPr>
        <w:pBdr>
          <w:top w:val="nil"/>
          <w:left w:val="nil"/>
          <w:bottom w:val="nil"/>
          <w:right w:val="nil"/>
          <w:between w:val="nil"/>
        </w:pBdr>
        <w:spacing w:after="0" w:line="240" w:lineRule="auto"/>
        <w:rPr>
          <w:iCs/>
          <w:sz w:val="20"/>
          <w:szCs w:val="20"/>
          <w:lang w:val="en-GB"/>
        </w:rPr>
      </w:pPr>
    </w:p>
    <w:p w14:paraId="6AD2C80E"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sidRPr="001F66E2">
        <w:rPr>
          <w:rFonts w:eastAsia="Times New Roman"/>
          <w:b/>
          <w:bCs/>
          <w:i/>
          <w:sz w:val="20"/>
          <w:szCs w:val="20"/>
          <w:lang w:val="en-GB" w:eastAsia="en-US"/>
        </w:rPr>
        <w:t>Convergent Validity</w:t>
      </w:r>
    </w:p>
    <w:p w14:paraId="3351B1EE" w14:textId="551D9812" w:rsidR="002B4435" w:rsidRPr="001F66E2" w:rsidRDefault="002B4435" w:rsidP="002B4435">
      <w:pPr>
        <w:pBdr>
          <w:top w:val="nil"/>
          <w:left w:val="nil"/>
          <w:bottom w:val="nil"/>
          <w:right w:val="nil"/>
          <w:between w:val="nil"/>
        </w:pBdr>
        <w:spacing w:after="0" w:line="240" w:lineRule="auto"/>
        <w:jc w:val="both"/>
        <w:rPr>
          <w:rFonts w:eastAsia="Times New Roman"/>
          <w:bCs/>
          <w:iCs/>
          <w:sz w:val="20"/>
          <w:szCs w:val="20"/>
          <w:lang w:val="en-GB" w:eastAsia="en-US"/>
        </w:rPr>
      </w:pPr>
      <w:r w:rsidRPr="001F66E2">
        <w:rPr>
          <w:rFonts w:eastAsia="Times New Roman"/>
          <w:bCs/>
          <w:iCs/>
          <w:sz w:val="20"/>
          <w:szCs w:val="20"/>
          <w:lang w:val="en-GB" w:eastAsia="en-US"/>
        </w:rPr>
        <w:t>The convergent validity test evaluates the constructs with average variance extracted (AVE) values (</w:t>
      </w:r>
      <w:proofErr w:type="spellStart"/>
      <w:r w:rsidRPr="001F66E2">
        <w:rPr>
          <w:rFonts w:eastAsia="Times New Roman"/>
          <w:bCs/>
          <w:iCs/>
          <w:sz w:val="20"/>
          <w:szCs w:val="20"/>
          <w:lang w:val="en-GB" w:eastAsia="en-US"/>
        </w:rPr>
        <w:t>Fornell</w:t>
      </w:r>
      <w:proofErr w:type="spellEnd"/>
      <w:r w:rsidRPr="001F66E2">
        <w:rPr>
          <w:rFonts w:eastAsia="Times New Roman"/>
          <w:bCs/>
          <w:iCs/>
          <w:sz w:val="20"/>
          <w:szCs w:val="20"/>
          <w:lang w:val="en-GB" w:eastAsia="en-US"/>
        </w:rPr>
        <w:t xml:space="preserve"> </w:t>
      </w:r>
      <w:r>
        <w:rPr>
          <w:rFonts w:eastAsia="Times New Roman"/>
          <w:bCs/>
          <w:iCs/>
          <w:sz w:val="20"/>
          <w:szCs w:val="20"/>
          <w:lang w:val="en-GB" w:eastAsia="en-US"/>
        </w:rPr>
        <w:t>&amp;</w:t>
      </w:r>
      <w:r w:rsidRPr="001F66E2">
        <w:rPr>
          <w:rFonts w:eastAsia="Times New Roman"/>
          <w:bCs/>
          <w:iCs/>
          <w:sz w:val="20"/>
          <w:szCs w:val="20"/>
          <w:lang w:val="en-GB" w:eastAsia="en-US"/>
        </w:rPr>
        <w:t xml:space="preserve"> </w:t>
      </w:r>
      <w:proofErr w:type="spellStart"/>
      <w:r w:rsidRPr="001F66E2">
        <w:rPr>
          <w:rFonts w:eastAsia="Times New Roman"/>
          <w:bCs/>
          <w:iCs/>
          <w:sz w:val="20"/>
          <w:szCs w:val="20"/>
          <w:lang w:val="en-GB" w:eastAsia="en-US"/>
        </w:rPr>
        <w:t>Larcker</w:t>
      </w:r>
      <w:proofErr w:type="spellEnd"/>
      <w:r w:rsidRPr="001F66E2">
        <w:rPr>
          <w:rFonts w:eastAsia="Times New Roman"/>
          <w:bCs/>
          <w:iCs/>
          <w:sz w:val="20"/>
          <w:szCs w:val="20"/>
          <w:lang w:val="en-GB" w:eastAsia="en-US"/>
        </w:rPr>
        <w:t xml:space="preserve">, 1981). The AVE values should be 0.50 or </w:t>
      </w:r>
      <w:r>
        <w:rPr>
          <w:rFonts w:eastAsia="Times New Roman"/>
          <w:bCs/>
          <w:iCs/>
          <w:sz w:val="20"/>
          <w:szCs w:val="20"/>
          <w:lang w:val="en-GB" w:eastAsia="en-US"/>
        </w:rPr>
        <w:t>high</w:t>
      </w:r>
      <w:r w:rsidRPr="001F66E2">
        <w:rPr>
          <w:rFonts w:eastAsia="Times New Roman"/>
          <w:bCs/>
          <w:iCs/>
          <w:sz w:val="20"/>
          <w:szCs w:val="20"/>
          <w:lang w:val="en-GB" w:eastAsia="en-US"/>
        </w:rPr>
        <w:t>e</w:t>
      </w:r>
      <w:r>
        <w:rPr>
          <w:rFonts w:eastAsia="Times New Roman"/>
          <w:bCs/>
          <w:iCs/>
          <w:sz w:val="20"/>
          <w:szCs w:val="20"/>
          <w:lang w:val="en-GB" w:eastAsia="en-US"/>
        </w:rPr>
        <w:t>r</w:t>
      </w:r>
      <w:r w:rsidRPr="001F66E2">
        <w:rPr>
          <w:rFonts w:eastAsia="Times New Roman"/>
          <w:bCs/>
          <w:iCs/>
          <w:sz w:val="20"/>
          <w:szCs w:val="20"/>
          <w:lang w:val="en-GB" w:eastAsia="en-US"/>
        </w:rPr>
        <w:t xml:space="preserve"> (Chin, 1998). Table </w:t>
      </w:r>
      <w:r w:rsidR="00616A5C">
        <w:rPr>
          <w:rFonts w:eastAsia="Times New Roman"/>
          <w:bCs/>
          <w:iCs/>
          <w:sz w:val="20"/>
          <w:szCs w:val="20"/>
          <w:lang w:val="en-GB" w:eastAsia="en-US"/>
        </w:rPr>
        <w:t>2</w:t>
      </w:r>
      <w:r w:rsidRPr="001F66E2">
        <w:rPr>
          <w:rFonts w:eastAsia="Times New Roman"/>
          <w:bCs/>
          <w:iCs/>
          <w:sz w:val="20"/>
          <w:szCs w:val="20"/>
          <w:lang w:val="en-GB" w:eastAsia="en-US"/>
        </w:rPr>
        <w:t xml:space="preserve"> indicates AVE scores from 0.689 to 0.851, </w:t>
      </w:r>
      <w:r>
        <w:rPr>
          <w:rFonts w:eastAsia="Times New Roman"/>
          <w:bCs/>
          <w:iCs/>
          <w:sz w:val="20"/>
          <w:szCs w:val="20"/>
          <w:lang w:val="en-GB" w:eastAsia="en-US"/>
        </w:rPr>
        <w:t xml:space="preserve">thus establishing </w:t>
      </w:r>
      <w:r w:rsidRPr="001F66E2">
        <w:rPr>
          <w:rFonts w:eastAsia="Times New Roman"/>
          <w:bCs/>
          <w:iCs/>
          <w:sz w:val="20"/>
          <w:szCs w:val="20"/>
          <w:lang w:val="en-GB" w:eastAsia="en-US"/>
        </w:rPr>
        <w:t>adequate convergent validity.</w:t>
      </w:r>
    </w:p>
    <w:p w14:paraId="6023C037" w14:textId="77777777" w:rsidR="002B4435" w:rsidRPr="001F66E2" w:rsidRDefault="002B4435" w:rsidP="002B4435">
      <w:pPr>
        <w:pBdr>
          <w:top w:val="nil"/>
          <w:left w:val="nil"/>
          <w:bottom w:val="nil"/>
          <w:right w:val="nil"/>
          <w:between w:val="nil"/>
        </w:pBdr>
        <w:spacing w:after="0" w:line="240" w:lineRule="auto"/>
        <w:rPr>
          <w:iCs/>
          <w:sz w:val="20"/>
          <w:szCs w:val="20"/>
          <w:lang w:val="en-GB"/>
        </w:rPr>
      </w:pPr>
    </w:p>
    <w:p w14:paraId="5691E621" w14:textId="77777777" w:rsidR="002B4435" w:rsidRPr="001F66E2" w:rsidRDefault="002B4435" w:rsidP="002B4435">
      <w:pPr>
        <w:pBdr>
          <w:top w:val="nil"/>
          <w:left w:val="nil"/>
          <w:bottom w:val="nil"/>
          <w:right w:val="nil"/>
          <w:between w:val="nil"/>
        </w:pBdr>
        <w:spacing w:after="0" w:line="240" w:lineRule="auto"/>
        <w:jc w:val="both"/>
        <w:rPr>
          <w:rFonts w:eastAsia="Times New Roman"/>
          <w:b/>
          <w:bCs/>
          <w:i/>
          <w:sz w:val="20"/>
          <w:szCs w:val="20"/>
          <w:lang w:val="en-GB" w:eastAsia="en-US"/>
        </w:rPr>
      </w:pPr>
      <w:r w:rsidRPr="001F66E2">
        <w:rPr>
          <w:rFonts w:eastAsia="Times New Roman"/>
          <w:b/>
          <w:bCs/>
          <w:i/>
          <w:sz w:val="20"/>
          <w:szCs w:val="20"/>
          <w:lang w:val="en-GB" w:eastAsia="en-US"/>
        </w:rPr>
        <w:t>Discriminant Validity</w:t>
      </w:r>
    </w:p>
    <w:p w14:paraId="36366C43" w14:textId="5E35109F" w:rsidR="002B4435" w:rsidRDefault="002B4435" w:rsidP="002B4435">
      <w:pPr>
        <w:pBdr>
          <w:top w:val="nil"/>
          <w:left w:val="nil"/>
          <w:bottom w:val="nil"/>
          <w:right w:val="nil"/>
          <w:between w:val="nil"/>
        </w:pBdr>
        <w:spacing w:after="0" w:line="240" w:lineRule="auto"/>
        <w:jc w:val="both"/>
        <w:rPr>
          <w:rFonts w:eastAsia="Times New Roman"/>
          <w:bCs/>
          <w:iCs/>
          <w:sz w:val="20"/>
          <w:szCs w:val="20"/>
          <w:lang w:val="en-GB" w:eastAsia="en-US"/>
        </w:rPr>
      </w:pPr>
      <w:r>
        <w:rPr>
          <w:rFonts w:eastAsia="Times New Roman"/>
          <w:bCs/>
          <w:iCs/>
          <w:sz w:val="20"/>
          <w:szCs w:val="20"/>
          <w:lang w:val="en-GB" w:eastAsia="en-US"/>
        </w:rPr>
        <w:t xml:space="preserve">Due to the </w:t>
      </w:r>
      <w:r w:rsidRPr="001F66E2">
        <w:rPr>
          <w:rFonts w:eastAsia="Times New Roman"/>
          <w:bCs/>
          <w:iCs/>
          <w:sz w:val="20"/>
          <w:szCs w:val="20"/>
          <w:lang w:val="en-GB" w:eastAsia="en-US"/>
        </w:rPr>
        <w:t xml:space="preserve">recent criticisms </w:t>
      </w:r>
      <w:r>
        <w:rPr>
          <w:rFonts w:eastAsia="Times New Roman"/>
          <w:bCs/>
          <w:iCs/>
          <w:sz w:val="20"/>
          <w:szCs w:val="20"/>
          <w:lang w:val="en-GB" w:eastAsia="en-US"/>
        </w:rPr>
        <w:t xml:space="preserve">of </w:t>
      </w:r>
      <w:proofErr w:type="spellStart"/>
      <w:r w:rsidRPr="001F66E2">
        <w:rPr>
          <w:rFonts w:eastAsia="Times New Roman"/>
          <w:bCs/>
          <w:iCs/>
          <w:sz w:val="20"/>
          <w:szCs w:val="20"/>
          <w:lang w:val="en-GB" w:eastAsia="en-US"/>
        </w:rPr>
        <w:t>Fornell</w:t>
      </w:r>
      <w:proofErr w:type="spellEnd"/>
      <w:r w:rsidRPr="001F66E2">
        <w:rPr>
          <w:rFonts w:eastAsia="Times New Roman"/>
          <w:bCs/>
          <w:iCs/>
          <w:sz w:val="20"/>
          <w:szCs w:val="20"/>
          <w:lang w:val="en-GB" w:eastAsia="en-US"/>
        </w:rPr>
        <w:t xml:space="preserve"> and </w:t>
      </w:r>
      <w:proofErr w:type="spellStart"/>
      <w:r w:rsidRPr="001F66E2">
        <w:rPr>
          <w:rFonts w:eastAsia="Times New Roman"/>
          <w:bCs/>
          <w:iCs/>
          <w:sz w:val="20"/>
          <w:szCs w:val="20"/>
          <w:lang w:val="en-GB" w:eastAsia="en-US"/>
        </w:rPr>
        <w:t>Larckers</w:t>
      </w:r>
      <w:proofErr w:type="spellEnd"/>
      <w:r>
        <w:rPr>
          <w:rFonts w:eastAsia="Times New Roman"/>
          <w:bCs/>
          <w:iCs/>
          <w:sz w:val="20"/>
          <w:szCs w:val="20"/>
          <w:lang w:val="en-GB" w:eastAsia="en-US"/>
        </w:rPr>
        <w:t>’</w:t>
      </w:r>
      <w:r w:rsidRPr="001F66E2">
        <w:rPr>
          <w:rFonts w:eastAsia="Times New Roman"/>
          <w:bCs/>
          <w:iCs/>
          <w:sz w:val="20"/>
          <w:szCs w:val="20"/>
          <w:lang w:val="en-GB" w:eastAsia="en-US"/>
        </w:rPr>
        <w:t xml:space="preserve"> (1981) criterion, we </w:t>
      </w:r>
      <w:r>
        <w:rPr>
          <w:rFonts w:eastAsia="Times New Roman"/>
          <w:bCs/>
          <w:iCs/>
          <w:sz w:val="20"/>
          <w:szCs w:val="20"/>
          <w:lang w:val="en-GB" w:eastAsia="en-US"/>
        </w:rPr>
        <w:t xml:space="preserve">determined the </w:t>
      </w:r>
      <w:r w:rsidRPr="001F66E2">
        <w:rPr>
          <w:rFonts w:eastAsia="Times New Roman"/>
          <w:bCs/>
          <w:iCs/>
          <w:sz w:val="20"/>
          <w:szCs w:val="20"/>
          <w:lang w:val="en-GB" w:eastAsia="en-US"/>
        </w:rPr>
        <w:t xml:space="preserve">discriminant validity </w:t>
      </w:r>
      <w:r>
        <w:rPr>
          <w:rFonts w:eastAsia="Times New Roman"/>
          <w:bCs/>
          <w:iCs/>
          <w:sz w:val="20"/>
          <w:szCs w:val="20"/>
          <w:lang w:val="en-GB" w:eastAsia="en-US"/>
        </w:rPr>
        <w:t xml:space="preserve">in the present study </w:t>
      </w:r>
      <w:r w:rsidRPr="001F66E2">
        <w:rPr>
          <w:rFonts w:eastAsia="Times New Roman"/>
          <w:bCs/>
          <w:iCs/>
          <w:sz w:val="20"/>
          <w:szCs w:val="20"/>
          <w:lang w:val="en-GB" w:eastAsia="en-US"/>
        </w:rPr>
        <w:t xml:space="preserve">through </w:t>
      </w:r>
      <w:r>
        <w:rPr>
          <w:rFonts w:eastAsia="Times New Roman"/>
          <w:bCs/>
          <w:iCs/>
          <w:sz w:val="20"/>
          <w:szCs w:val="20"/>
          <w:lang w:val="en-GB" w:eastAsia="en-US"/>
        </w:rPr>
        <w:t xml:space="preserve">the </w:t>
      </w:r>
      <w:proofErr w:type="spellStart"/>
      <w:r>
        <w:rPr>
          <w:rFonts w:eastAsia="Times New Roman"/>
          <w:bCs/>
          <w:iCs/>
          <w:sz w:val="20"/>
          <w:szCs w:val="20"/>
          <w:lang w:val="en-GB" w:eastAsia="en-US"/>
        </w:rPr>
        <w:t>h</w:t>
      </w:r>
      <w:r w:rsidRPr="001F66E2">
        <w:rPr>
          <w:rFonts w:eastAsia="Times New Roman"/>
          <w:bCs/>
          <w:iCs/>
          <w:sz w:val="20"/>
          <w:szCs w:val="20"/>
          <w:lang w:val="en-GB" w:eastAsia="en-US"/>
        </w:rPr>
        <w:t>eterotrait-monotrait</w:t>
      </w:r>
      <w:proofErr w:type="spellEnd"/>
      <w:r w:rsidRPr="001F66E2">
        <w:rPr>
          <w:rFonts w:eastAsia="Times New Roman"/>
          <w:bCs/>
          <w:iCs/>
          <w:sz w:val="20"/>
          <w:szCs w:val="20"/>
          <w:lang w:val="en-GB" w:eastAsia="en-US"/>
        </w:rPr>
        <w:t xml:space="preserve"> method. The </w:t>
      </w:r>
      <w:proofErr w:type="spellStart"/>
      <w:r w:rsidRPr="001F66E2">
        <w:rPr>
          <w:rFonts w:eastAsia="Times New Roman"/>
          <w:bCs/>
          <w:iCs/>
          <w:sz w:val="20"/>
          <w:szCs w:val="20"/>
          <w:lang w:val="en-GB" w:eastAsia="en-US"/>
        </w:rPr>
        <w:t>multitrait</w:t>
      </w:r>
      <w:proofErr w:type="spellEnd"/>
      <w:r>
        <w:rPr>
          <w:rFonts w:eastAsia="Times New Roman"/>
          <w:bCs/>
          <w:iCs/>
          <w:sz w:val="20"/>
          <w:szCs w:val="20"/>
          <w:lang w:val="en-GB" w:eastAsia="en-US"/>
        </w:rPr>
        <w:t>–</w:t>
      </w:r>
      <w:r w:rsidRPr="001F66E2">
        <w:rPr>
          <w:rFonts w:eastAsia="Times New Roman"/>
          <w:bCs/>
          <w:iCs/>
          <w:sz w:val="20"/>
          <w:szCs w:val="20"/>
          <w:lang w:val="en-GB" w:eastAsia="en-US"/>
        </w:rPr>
        <w:t xml:space="preserve">multimethod matrix was followed, </w:t>
      </w:r>
      <w:r>
        <w:rPr>
          <w:rFonts w:eastAsia="Times New Roman"/>
          <w:bCs/>
          <w:iCs/>
          <w:sz w:val="20"/>
          <w:szCs w:val="20"/>
          <w:lang w:val="en-GB" w:eastAsia="en-US"/>
        </w:rPr>
        <w:t xml:space="preserve">where a </w:t>
      </w:r>
      <w:r w:rsidRPr="001F66E2">
        <w:rPr>
          <w:rFonts w:eastAsia="Times New Roman"/>
          <w:bCs/>
          <w:iCs/>
          <w:sz w:val="20"/>
          <w:szCs w:val="20"/>
          <w:lang w:val="en-GB" w:eastAsia="en-US"/>
        </w:rPr>
        <w:t xml:space="preserve">threshold value </w:t>
      </w:r>
      <w:r>
        <w:rPr>
          <w:rFonts w:eastAsia="Times New Roman"/>
          <w:bCs/>
          <w:iCs/>
          <w:sz w:val="20"/>
          <w:szCs w:val="20"/>
          <w:lang w:val="en-GB" w:eastAsia="en-US"/>
        </w:rPr>
        <w:t xml:space="preserve">of </w:t>
      </w:r>
      <w:r w:rsidRPr="001F66E2">
        <w:rPr>
          <w:rFonts w:eastAsia="Times New Roman"/>
          <w:bCs/>
          <w:iCs/>
          <w:sz w:val="20"/>
          <w:szCs w:val="20"/>
          <w:lang w:val="en-GB" w:eastAsia="en-US"/>
        </w:rPr>
        <w:t>less than 0.85 indicates adequacy (Kline, 2011). We found discriminant validity values within</w:t>
      </w:r>
      <w:r>
        <w:rPr>
          <w:rFonts w:eastAsia="Times New Roman"/>
          <w:bCs/>
          <w:iCs/>
          <w:sz w:val="20"/>
          <w:szCs w:val="20"/>
          <w:lang w:val="en-GB" w:eastAsia="en-US"/>
        </w:rPr>
        <w:t xml:space="preserve"> the</w:t>
      </w:r>
      <w:r w:rsidRPr="001F66E2">
        <w:rPr>
          <w:rFonts w:eastAsia="Times New Roman"/>
          <w:bCs/>
          <w:iCs/>
          <w:sz w:val="20"/>
          <w:szCs w:val="20"/>
          <w:lang w:val="en-GB" w:eastAsia="en-US"/>
        </w:rPr>
        <w:t xml:space="preserve"> threshold, indicating that discriminant validity </w:t>
      </w:r>
      <w:r>
        <w:rPr>
          <w:rFonts w:eastAsia="Times New Roman"/>
          <w:bCs/>
          <w:iCs/>
          <w:sz w:val="20"/>
          <w:szCs w:val="20"/>
          <w:lang w:val="en-GB" w:eastAsia="en-US"/>
        </w:rPr>
        <w:t xml:space="preserve">had </w:t>
      </w:r>
      <w:r w:rsidRPr="001F66E2">
        <w:rPr>
          <w:rFonts w:eastAsia="Times New Roman"/>
          <w:bCs/>
          <w:iCs/>
          <w:sz w:val="20"/>
          <w:szCs w:val="20"/>
          <w:lang w:val="en-GB" w:eastAsia="en-US"/>
        </w:rPr>
        <w:t>been established for all the constructs</w:t>
      </w:r>
      <w:r w:rsidR="00011FC8">
        <w:rPr>
          <w:rFonts w:eastAsia="Times New Roman"/>
          <w:bCs/>
          <w:iCs/>
          <w:sz w:val="20"/>
          <w:szCs w:val="20"/>
          <w:lang w:val="en-GB" w:eastAsia="en-US"/>
        </w:rPr>
        <w:t xml:space="preserve"> (see Table 3)</w:t>
      </w:r>
      <w:r w:rsidRPr="001F66E2">
        <w:rPr>
          <w:rFonts w:eastAsia="Times New Roman"/>
          <w:bCs/>
          <w:iCs/>
          <w:sz w:val="20"/>
          <w:szCs w:val="20"/>
          <w:lang w:val="en-GB" w:eastAsia="en-US"/>
        </w:rPr>
        <w:t>.</w:t>
      </w:r>
    </w:p>
    <w:p w14:paraId="17E63E97" w14:textId="77777777" w:rsidR="002939D9" w:rsidRDefault="002939D9" w:rsidP="002B4435">
      <w:pPr>
        <w:pBdr>
          <w:top w:val="nil"/>
          <w:left w:val="nil"/>
          <w:bottom w:val="nil"/>
          <w:right w:val="nil"/>
          <w:between w:val="nil"/>
        </w:pBdr>
        <w:spacing w:after="0" w:line="240" w:lineRule="auto"/>
        <w:jc w:val="both"/>
        <w:rPr>
          <w:rFonts w:eastAsia="Times New Roman"/>
          <w:bCs/>
          <w:iCs/>
          <w:sz w:val="20"/>
          <w:szCs w:val="20"/>
          <w:lang w:val="en-GB" w:eastAsia="en-US"/>
        </w:rPr>
      </w:pPr>
    </w:p>
    <w:p w14:paraId="029410AC" w14:textId="1E984388" w:rsidR="002939D9" w:rsidRPr="00A25872" w:rsidRDefault="002939D9" w:rsidP="002939D9">
      <w:pPr>
        <w:pBdr>
          <w:top w:val="nil"/>
          <w:left w:val="nil"/>
          <w:bottom w:val="nil"/>
          <w:right w:val="nil"/>
          <w:between w:val="nil"/>
        </w:pBdr>
        <w:spacing w:after="0" w:line="240" w:lineRule="auto"/>
        <w:jc w:val="center"/>
        <w:rPr>
          <w:bCs/>
          <w:sz w:val="20"/>
          <w:szCs w:val="20"/>
        </w:rPr>
      </w:pPr>
      <w:r w:rsidRPr="00A25872">
        <w:rPr>
          <w:bCs/>
          <w:iCs/>
          <w:sz w:val="20"/>
          <w:szCs w:val="20"/>
        </w:rPr>
        <w:t xml:space="preserve">Table 3: </w:t>
      </w:r>
      <w:r w:rsidRPr="00A25872">
        <w:rPr>
          <w:bCs/>
          <w:sz w:val="20"/>
          <w:szCs w:val="20"/>
        </w:rPr>
        <w:t>Discriminant Validity (HTMT Ratio)</w:t>
      </w:r>
    </w:p>
    <w:p w14:paraId="526373E6" w14:textId="77777777" w:rsidR="00A25872" w:rsidRPr="002939D9" w:rsidRDefault="00A25872" w:rsidP="002939D9">
      <w:pPr>
        <w:pBdr>
          <w:top w:val="nil"/>
          <w:left w:val="nil"/>
          <w:bottom w:val="nil"/>
          <w:right w:val="nil"/>
          <w:between w:val="nil"/>
        </w:pBdr>
        <w:spacing w:after="0" w:line="240" w:lineRule="auto"/>
        <w:jc w:val="center"/>
        <w:rPr>
          <w:rFonts w:eastAsia="Times New Roman"/>
          <w:b/>
          <w:iCs/>
          <w:sz w:val="20"/>
          <w:szCs w:val="20"/>
          <w:lang w:val="en-GB" w:eastAsia="en-US"/>
        </w:rPr>
      </w:pPr>
    </w:p>
    <w:tbl>
      <w:tblPr>
        <w:tblW w:w="0" w:type="auto"/>
        <w:jc w:val="center"/>
        <w:tblBorders>
          <w:top w:val="single" w:sz="4" w:space="0" w:color="auto"/>
          <w:bottom w:val="single" w:sz="4" w:space="0" w:color="auto"/>
        </w:tblBorders>
        <w:tblLook w:val="04A0" w:firstRow="1" w:lastRow="0" w:firstColumn="1" w:lastColumn="0" w:noHBand="0" w:noVBand="1"/>
      </w:tblPr>
      <w:tblGrid>
        <w:gridCol w:w="2491"/>
        <w:gridCol w:w="1209"/>
        <w:gridCol w:w="1497"/>
        <w:gridCol w:w="2491"/>
        <w:gridCol w:w="1401"/>
        <w:gridCol w:w="1116"/>
      </w:tblGrid>
      <w:tr w:rsidR="002939D9" w:rsidRPr="004C646D" w14:paraId="7003A8A5" w14:textId="77777777" w:rsidTr="004D2DC9">
        <w:trPr>
          <w:trHeight w:val="300"/>
          <w:jc w:val="center"/>
        </w:trPr>
        <w:tc>
          <w:tcPr>
            <w:tcW w:w="0" w:type="auto"/>
            <w:tcBorders>
              <w:top w:val="single" w:sz="4" w:space="0" w:color="auto"/>
              <w:bottom w:val="single" w:sz="4" w:space="0" w:color="auto"/>
            </w:tcBorders>
            <w:shd w:val="clear" w:color="auto" w:fill="auto"/>
            <w:noWrap/>
            <w:vAlign w:val="bottom"/>
            <w:hideMark/>
          </w:tcPr>
          <w:p w14:paraId="0DB1736A" w14:textId="77777777" w:rsidR="002939D9" w:rsidRPr="004C646D" w:rsidRDefault="002939D9" w:rsidP="005E2B03">
            <w:pPr>
              <w:spacing w:after="0" w:line="240" w:lineRule="auto"/>
              <w:rPr>
                <w:rFonts w:eastAsia="Times New Roman"/>
                <w:sz w:val="20"/>
                <w:szCs w:val="20"/>
              </w:rPr>
            </w:pPr>
            <w:r w:rsidRPr="004C646D">
              <w:rPr>
                <w:rFonts w:eastAsia="Times New Roman"/>
                <w:sz w:val="20"/>
                <w:szCs w:val="20"/>
              </w:rPr>
              <w:t>Latent Constructs</w:t>
            </w:r>
          </w:p>
        </w:tc>
        <w:tc>
          <w:tcPr>
            <w:tcW w:w="0" w:type="auto"/>
            <w:tcBorders>
              <w:top w:val="single" w:sz="4" w:space="0" w:color="auto"/>
              <w:bottom w:val="single" w:sz="4" w:space="0" w:color="auto"/>
            </w:tcBorders>
            <w:shd w:val="clear" w:color="auto" w:fill="auto"/>
            <w:noWrap/>
            <w:vAlign w:val="bottom"/>
            <w:hideMark/>
          </w:tcPr>
          <w:p w14:paraId="6BA55D6E" w14:textId="3DC2055D" w:rsidR="002939D9" w:rsidRPr="004C646D" w:rsidRDefault="004D2DC9" w:rsidP="005E2B03">
            <w:pPr>
              <w:spacing w:after="0" w:line="240" w:lineRule="auto"/>
              <w:rPr>
                <w:rFonts w:eastAsia="Times New Roman"/>
                <w:sz w:val="20"/>
                <w:szCs w:val="20"/>
              </w:rPr>
            </w:pPr>
            <w:r w:rsidRPr="004D2DC9">
              <w:rPr>
                <w:rFonts w:eastAsia="Times New Roman"/>
                <w:iCs/>
                <w:color w:val="000000"/>
                <w:sz w:val="20"/>
                <w:szCs w:val="20"/>
                <w:lang w:val="en-GB"/>
              </w:rPr>
              <w:t>Consumer Incivility</w:t>
            </w:r>
          </w:p>
        </w:tc>
        <w:tc>
          <w:tcPr>
            <w:tcW w:w="0" w:type="auto"/>
            <w:tcBorders>
              <w:top w:val="single" w:sz="4" w:space="0" w:color="auto"/>
              <w:bottom w:val="single" w:sz="4" w:space="0" w:color="auto"/>
            </w:tcBorders>
            <w:shd w:val="clear" w:color="auto" w:fill="auto"/>
            <w:noWrap/>
            <w:vAlign w:val="bottom"/>
            <w:hideMark/>
          </w:tcPr>
          <w:p w14:paraId="41FE4071" w14:textId="6D438F7A" w:rsidR="002939D9" w:rsidRPr="004C646D" w:rsidRDefault="004D2DC9" w:rsidP="005E2B03">
            <w:pPr>
              <w:spacing w:after="0" w:line="240" w:lineRule="auto"/>
              <w:rPr>
                <w:rFonts w:eastAsia="Times New Roman"/>
                <w:sz w:val="20"/>
                <w:szCs w:val="20"/>
              </w:rPr>
            </w:pPr>
            <w:r w:rsidRPr="004D2DC9">
              <w:rPr>
                <w:rFonts w:eastAsia="Times New Roman"/>
                <w:iCs/>
                <w:color w:val="000000"/>
                <w:sz w:val="20"/>
                <w:szCs w:val="20"/>
                <w:lang w:val="en-GB"/>
              </w:rPr>
              <w:t>Social Media Brand Trust</w:t>
            </w:r>
          </w:p>
        </w:tc>
        <w:tc>
          <w:tcPr>
            <w:tcW w:w="0" w:type="auto"/>
            <w:tcBorders>
              <w:top w:val="single" w:sz="4" w:space="0" w:color="auto"/>
              <w:bottom w:val="single" w:sz="4" w:space="0" w:color="auto"/>
            </w:tcBorders>
            <w:shd w:val="clear" w:color="auto" w:fill="auto"/>
            <w:noWrap/>
            <w:vAlign w:val="bottom"/>
            <w:hideMark/>
          </w:tcPr>
          <w:p w14:paraId="51FB1614" w14:textId="5201AA80" w:rsidR="002939D9" w:rsidRPr="004C646D" w:rsidRDefault="004D2DC9" w:rsidP="005E2B03">
            <w:pPr>
              <w:spacing w:after="0" w:line="240" w:lineRule="auto"/>
              <w:rPr>
                <w:rFonts w:eastAsia="Times New Roman"/>
                <w:sz w:val="20"/>
                <w:szCs w:val="20"/>
              </w:rPr>
            </w:pPr>
            <w:r w:rsidRPr="004D2DC9">
              <w:rPr>
                <w:rFonts w:eastAsia="Times New Roman"/>
                <w:iCs/>
                <w:color w:val="000000"/>
                <w:sz w:val="20"/>
                <w:szCs w:val="20"/>
                <w:lang w:val="en-GB"/>
              </w:rPr>
              <w:t>Social Media Brand Community Participation</w:t>
            </w:r>
          </w:p>
        </w:tc>
        <w:tc>
          <w:tcPr>
            <w:tcW w:w="0" w:type="auto"/>
            <w:gridSpan w:val="2"/>
            <w:tcBorders>
              <w:top w:val="single" w:sz="4" w:space="0" w:color="auto"/>
              <w:bottom w:val="single" w:sz="4" w:space="0" w:color="auto"/>
            </w:tcBorders>
            <w:shd w:val="clear" w:color="auto" w:fill="auto"/>
            <w:noWrap/>
            <w:vAlign w:val="bottom"/>
            <w:hideMark/>
          </w:tcPr>
          <w:p w14:paraId="288ACDBE" w14:textId="4FE303C4" w:rsidR="002939D9" w:rsidRPr="004C646D" w:rsidRDefault="004D2DC9" w:rsidP="005E2B03">
            <w:pPr>
              <w:spacing w:after="0" w:line="240" w:lineRule="auto"/>
              <w:rPr>
                <w:rFonts w:eastAsia="Times New Roman"/>
                <w:sz w:val="20"/>
                <w:szCs w:val="20"/>
              </w:rPr>
            </w:pPr>
            <w:r w:rsidRPr="004D2DC9">
              <w:rPr>
                <w:rFonts w:eastAsia="Times New Roman"/>
                <w:iCs/>
                <w:color w:val="000000"/>
                <w:sz w:val="20"/>
                <w:szCs w:val="20"/>
                <w:lang w:val="en-GB"/>
              </w:rPr>
              <w:t xml:space="preserve">Social Media Brand </w:t>
            </w:r>
            <w:r w:rsidRPr="004D2DC9">
              <w:rPr>
                <w:rFonts w:eastAsia="Times New Roman"/>
                <w:color w:val="000000"/>
                <w:sz w:val="20"/>
                <w:szCs w:val="20"/>
                <w:lang w:val="en-GB"/>
              </w:rPr>
              <w:t xml:space="preserve">Representatives’ </w:t>
            </w:r>
            <w:r w:rsidRPr="004D2DC9">
              <w:rPr>
                <w:rFonts w:eastAsia="Times New Roman"/>
                <w:iCs/>
                <w:color w:val="000000"/>
                <w:sz w:val="20"/>
                <w:szCs w:val="20"/>
                <w:lang w:val="en-GB"/>
              </w:rPr>
              <w:t>Efforts</w:t>
            </w:r>
          </w:p>
        </w:tc>
      </w:tr>
      <w:tr w:rsidR="004D2DC9" w:rsidRPr="004C646D" w14:paraId="3AE19FAD" w14:textId="77777777" w:rsidTr="004D2DC9">
        <w:trPr>
          <w:trHeight w:val="300"/>
          <w:jc w:val="center"/>
        </w:trPr>
        <w:tc>
          <w:tcPr>
            <w:tcW w:w="0" w:type="auto"/>
            <w:shd w:val="clear" w:color="auto" w:fill="auto"/>
            <w:noWrap/>
            <w:vAlign w:val="bottom"/>
            <w:hideMark/>
          </w:tcPr>
          <w:p w14:paraId="5769ABBD" w14:textId="4BD074AE" w:rsidR="002939D9" w:rsidRPr="004C646D" w:rsidRDefault="004D2DC9" w:rsidP="005E2B03">
            <w:pPr>
              <w:spacing w:after="0" w:line="240" w:lineRule="auto"/>
              <w:rPr>
                <w:rFonts w:eastAsia="Times New Roman"/>
                <w:sz w:val="20"/>
                <w:szCs w:val="20"/>
              </w:rPr>
            </w:pPr>
            <w:r w:rsidRPr="004D2DC9">
              <w:rPr>
                <w:rFonts w:eastAsia="Times New Roman"/>
                <w:iCs/>
                <w:color w:val="000000"/>
                <w:sz w:val="20"/>
                <w:szCs w:val="20"/>
                <w:lang w:val="en-GB"/>
              </w:rPr>
              <w:t>Consumer Incivility</w:t>
            </w:r>
          </w:p>
        </w:tc>
        <w:tc>
          <w:tcPr>
            <w:tcW w:w="0" w:type="auto"/>
            <w:shd w:val="clear" w:color="auto" w:fill="auto"/>
            <w:noWrap/>
            <w:vAlign w:val="bottom"/>
          </w:tcPr>
          <w:p w14:paraId="0BEE5DC9" w14:textId="77777777" w:rsidR="002939D9" w:rsidRPr="004C646D" w:rsidRDefault="002939D9" w:rsidP="005E2B03">
            <w:pPr>
              <w:spacing w:after="0" w:line="240" w:lineRule="auto"/>
              <w:rPr>
                <w:rFonts w:eastAsia="Times New Roman"/>
                <w:sz w:val="20"/>
                <w:szCs w:val="20"/>
              </w:rPr>
            </w:pPr>
            <w:r>
              <w:rPr>
                <w:rFonts w:eastAsia="Times New Roman"/>
                <w:sz w:val="20"/>
                <w:szCs w:val="20"/>
              </w:rPr>
              <w:t>-</w:t>
            </w:r>
          </w:p>
        </w:tc>
        <w:tc>
          <w:tcPr>
            <w:tcW w:w="0" w:type="auto"/>
            <w:shd w:val="clear" w:color="auto" w:fill="auto"/>
            <w:noWrap/>
            <w:vAlign w:val="bottom"/>
          </w:tcPr>
          <w:p w14:paraId="52909F9E"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tcPr>
          <w:p w14:paraId="114841B3"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1C0D2694"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3F8DB83C" w14:textId="77777777" w:rsidR="002939D9" w:rsidRPr="004C646D" w:rsidRDefault="002939D9" w:rsidP="005E2B03">
            <w:pPr>
              <w:spacing w:after="0" w:line="240" w:lineRule="auto"/>
              <w:rPr>
                <w:rFonts w:eastAsia="Times New Roman"/>
                <w:sz w:val="20"/>
                <w:szCs w:val="20"/>
              </w:rPr>
            </w:pPr>
          </w:p>
        </w:tc>
      </w:tr>
      <w:tr w:rsidR="004D2DC9" w:rsidRPr="004C646D" w14:paraId="28A8D5F0" w14:textId="77777777" w:rsidTr="004D2DC9">
        <w:trPr>
          <w:trHeight w:val="300"/>
          <w:jc w:val="center"/>
        </w:trPr>
        <w:tc>
          <w:tcPr>
            <w:tcW w:w="0" w:type="auto"/>
            <w:shd w:val="clear" w:color="auto" w:fill="auto"/>
            <w:noWrap/>
            <w:vAlign w:val="bottom"/>
            <w:hideMark/>
          </w:tcPr>
          <w:p w14:paraId="7CB78D6E" w14:textId="51C8C652" w:rsidR="002939D9" w:rsidRPr="004C646D" w:rsidRDefault="004D2DC9" w:rsidP="005E2B03">
            <w:pPr>
              <w:spacing w:after="0" w:line="240" w:lineRule="auto"/>
              <w:rPr>
                <w:rFonts w:eastAsia="Times New Roman"/>
                <w:sz w:val="20"/>
                <w:szCs w:val="20"/>
              </w:rPr>
            </w:pPr>
            <w:r w:rsidRPr="004D2DC9">
              <w:rPr>
                <w:rFonts w:eastAsia="Times New Roman"/>
                <w:iCs/>
                <w:color w:val="000000"/>
                <w:sz w:val="20"/>
                <w:szCs w:val="20"/>
                <w:lang w:val="en-GB"/>
              </w:rPr>
              <w:t>Social Media Brand Trust</w:t>
            </w:r>
          </w:p>
        </w:tc>
        <w:tc>
          <w:tcPr>
            <w:tcW w:w="0" w:type="auto"/>
            <w:shd w:val="clear" w:color="auto" w:fill="auto"/>
            <w:noWrap/>
            <w:vAlign w:val="bottom"/>
          </w:tcPr>
          <w:p w14:paraId="28B9B025" w14:textId="77777777" w:rsidR="002939D9" w:rsidRPr="004C646D" w:rsidRDefault="002939D9" w:rsidP="005E2B03">
            <w:pPr>
              <w:spacing w:after="0" w:line="240" w:lineRule="auto"/>
              <w:rPr>
                <w:rFonts w:eastAsia="Times New Roman"/>
                <w:sz w:val="20"/>
                <w:szCs w:val="20"/>
              </w:rPr>
            </w:pPr>
            <w:r w:rsidRPr="004C646D">
              <w:rPr>
                <w:rFonts w:eastAsia="Times New Roman"/>
                <w:sz w:val="20"/>
                <w:szCs w:val="20"/>
              </w:rPr>
              <w:t>.744</w:t>
            </w:r>
          </w:p>
        </w:tc>
        <w:tc>
          <w:tcPr>
            <w:tcW w:w="0" w:type="auto"/>
            <w:shd w:val="clear" w:color="auto" w:fill="auto"/>
            <w:noWrap/>
            <w:vAlign w:val="bottom"/>
          </w:tcPr>
          <w:p w14:paraId="76A74697"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tcPr>
          <w:p w14:paraId="0A4C162E"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23FB97FD"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06027E02" w14:textId="77777777" w:rsidR="002939D9" w:rsidRPr="004C646D" w:rsidRDefault="002939D9" w:rsidP="005E2B03">
            <w:pPr>
              <w:spacing w:after="0" w:line="240" w:lineRule="auto"/>
              <w:rPr>
                <w:rFonts w:eastAsia="Times New Roman"/>
                <w:sz w:val="20"/>
                <w:szCs w:val="20"/>
              </w:rPr>
            </w:pPr>
          </w:p>
        </w:tc>
      </w:tr>
      <w:tr w:rsidR="004D2DC9" w:rsidRPr="004C646D" w14:paraId="28FC00AD" w14:textId="77777777" w:rsidTr="004D2DC9">
        <w:trPr>
          <w:trHeight w:val="300"/>
          <w:jc w:val="center"/>
        </w:trPr>
        <w:tc>
          <w:tcPr>
            <w:tcW w:w="0" w:type="auto"/>
            <w:shd w:val="clear" w:color="auto" w:fill="auto"/>
            <w:noWrap/>
            <w:vAlign w:val="bottom"/>
            <w:hideMark/>
          </w:tcPr>
          <w:p w14:paraId="70242F67" w14:textId="0278234E" w:rsidR="002939D9" w:rsidRPr="004C646D" w:rsidRDefault="004D2DC9" w:rsidP="005E2B03">
            <w:pPr>
              <w:spacing w:after="0" w:line="240" w:lineRule="auto"/>
              <w:rPr>
                <w:rFonts w:eastAsia="Times New Roman"/>
                <w:sz w:val="20"/>
                <w:szCs w:val="20"/>
              </w:rPr>
            </w:pPr>
            <w:r w:rsidRPr="004D2DC9">
              <w:rPr>
                <w:rFonts w:eastAsia="Times New Roman"/>
                <w:iCs/>
                <w:color w:val="000000"/>
                <w:sz w:val="20"/>
                <w:szCs w:val="20"/>
                <w:lang w:val="en-GB"/>
              </w:rPr>
              <w:t>Social Media Brand Community Participation</w:t>
            </w:r>
          </w:p>
        </w:tc>
        <w:tc>
          <w:tcPr>
            <w:tcW w:w="0" w:type="auto"/>
            <w:shd w:val="clear" w:color="auto" w:fill="auto"/>
            <w:noWrap/>
            <w:vAlign w:val="bottom"/>
          </w:tcPr>
          <w:p w14:paraId="373B6CBE" w14:textId="77777777" w:rsidR="002939D9" w:rsidRPr="004C646D" w:rsidRDefault="002939D9" w:rsidP="005E2B03">
            <w:pPr>
              <w:spacing w:after="0" w:line="240" w:lineRule="auto"/>
              <w:rPr>
                <w:rFonts w:eastAsia="Times New Roman"/>
                <w:sz w:val="20"/>
                <w:szCs w:val="20"/>
              </w:rPr>
            </w:pPr>
            <w:r w:rsidRPr="004C646D">
              <w:rPr>
                <w:rFonts w:eastAsia="Times New Roman"/>
                <w:sz w:val="20"/>
                <w:szCs w:val="20"/>
              </w:rPr>
              <w:t>.669</w:t>
            </w:r>
          </w:p>
        </w:tc>
        <w:tc>
          <w:tcPr>
            <w:tcW w:w="0" w:type="auto"/>
            <w:shd w:val="clear" w:color="auto" w:fill="auto"/>
            <w:noWrap/>
            <w:vAlign w:val="bottom"/>
          </w:tcPr>
          <w:p w14:paraId="7DC78545" w14:textId="77777777" w:rsidR="002939D9" w:rsidRPr="004C646D" w:rsidRDefault="002939D9" w:rsidP="005E2B03">
            <w:pPr>
              <w:spacing w:after="0" w:line="240" w:lineRule="auto"/>
              <w:rPr>
                <w:rFonts w:eastAsia="Times New Roman"/>
                <w:sz w:val="20"/>
                <w:szCs w:val="20"/>
              </w:rPr>
            </w:pPr>
            <w:r w:rsidRPr="004C646D">
              <w:rPr>
                <w:rFonts w:eastAsia="Times New Roman"/>
                <w:sz w:val="20"/>
                <w:szCs w:val="20"/>
              </w:rPr>
              <w:t>.831</w:t>
            </w:r>
          </w:p>
        </w:tc>
        <w:tc>
          <w:tcPr>
            <w:tcW w:w="0" w:type="auto"/>
            <w:shd w:val="clear" w:color="auto" w:fill="auto"/>
            <w:noWrap/>
            <w:vAlign w:val="bottom"/>
          </w:tcPr>
          <w:p w14:paraId="6A509682"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30AAEF8A"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28B453B5" w14:textId="77777777" w:rsidR="002939D9" w:rsidRPr="004C646D" w:rsidRDefault="002939D9" w:rsidP="005E2B03">
            <w:pPr>
              <w:spacing w:after="0" w:line="240" w:lineRule="auto"/>
              <w:rPr>
                <w:rFonts w:eastAsia="Times New Roman"/>
                <w:sz w:val="20"/>
                <w:szCs w:val="20"/>
              </w:rPr>
            </w:pPr>
          </w:p>
        </w:tc>
      </w:tr>
      <w:tr w:rsidR="004D2DC9" w:rsidRPr="004C646D" w14:paraId="4730A10A" w14:textId="77777777" w:rsidTr="004D2DC9">
        <w:trPr>
          <w:trHeight w:val="300"/>
          <w:jc w:val="center"/>
        </w:trPr>
        <w:tc>
          <w:tcPr>
            <w:tcW w:w="0" w:type="auto"/>
            <w:shd w:val="clear" w:color="auto" w:fill="auto"/>
            <w:noWrap/>
            <w:vAlign w:val="bottom"/>
          </w:tcPr>
          <w:p w14:paraId="66B2AFFB" w14:textId="4F15B33C" w:rsidR="002939D9" w:rsidRPr="004C646D" w:rsidRDefault="004D2DC9" w:rsidP="005E2B03">
            <w:pPr>
              <w:spacing w:after="0" w:line="240" w:lineRule="auto"/>
              <w:rPr>
                <w:rFonts w:eastAsia="Times New Roman"/>
                <w:sz w:val="20"/>
                <w:szCs w:val="20"/>
              </w:rPr>
            </w:pPr>
            <w:r w:rsidRPr="004D2DC9">
              <w:rPr>
                <w:rFonts w:eastAsia="Times New Roman"/>
                <w:iCs/>
                <w:color w:val="000000"/>
                <w:sz w:val="20"/>
                <w:szCs w:val="20"/>
                <w:lang w:val="en-GB"/>
              </w:rPr>
              <w:lastRenderedPageBreak/>
              <w:t xml:space="preserve">Social Media Brand </w:t>
            </w:r>
            <w:r w:rsidRPr="004D2DC9">
              <w:rPr>
                <w:rFonts w:eastAsia="Times New Roman"/>
                <w:color w:val="000000"/>
                <w:sz w:val="20"/>
                <w:szCs w:val="20"/>
                <w:lang w:val="en-GB"/>
              </w:rPr>
              <w:t xml:space="preserve">Representatives’ </w:t>
            </w:r>
            <w:r w:rsidRPr="004D2DC9">
              <w:rPr>
                <w:rFonts w:eastAsia="Times New Roman"/>
                <w:iCs/>
                <w:color w:val="000000"/>
                <w:sz w:val="20"/>
                <w:szCs w:val="20"/>
                <w:lang w:val="en-GB"/>
              </w:rPr>
              <w:t>Efforts</w:t>
            </w:r>
          </w:p>
        </w:tc>
        <w:tc>
          <w:tcPr>
            <w:tcW w:w="0" w:type="auto"/>
            <w:shd w:val="clear" w:color="auto" w:fill="auto"/>
            <w:noWrap/>
            <w:vAlign w:val="bottom"/>
          </w:tcPr>
          <w:p w14:paraId="701626CB" w14:textId="77777777" w:rsidR="002939D9" w:rsidRPr="004C646D" w:rsidRDefault="002939D9" w:rsidP="005E2B03">
            <w:pPr>
              <w:spacing w:after="0" w:line="240" w:lineRule="auto"/>
              <w:rPr>
                <w:rFonts w:eastAsia="Times New Roman"/>
                <w:sz w:val="20"/>
                <w:szCs w:val="20"/>
              </w:rPr>
            </w:pPr>
            <w:r w:rsidRPr="004C646D">
              <w:rPr>
                <w:rFonts w:eastAsia="Times New Roman"/>
                <w:sz w:val="20"/>
                <w:szCs w:val="20"/>
              </w:rPr>
              <w:t>.396</w:t>
            </w:r>
          </w:p>
        </w:tc>
        <w:tc>
          <w:tcPr>
            <w:tcW w:w="0" w:type="auto"/>
            <w:shd w:val="clear" w:color="auto" w:fill="auto"/>
            <w:noWrap/>
            <w:vAlign w:val="bottom"/>
          </w:tcPr>
          <w:p w14:paraId="1CDB2831" w14:textId="77777777" w:rsidR="002939D9" w:rsidRPr="004C646D" w:rsidRDefault="002939D9" w:rsidP="005E2B03">
            <w:pPr>
              <w:spacing w:after="0" w:line="240" w:lineRule="auto"/>
              <w:rPr>
                <w:rFonts w:eastAsia="Times New Roman"/>
                <w:sz w:val="20"/>
                <w:szCs w:val="20"/>
              </w:rPr>
            </w:pPr>
            <w:r w:rsidRPr="004C646D">
              <w:rPr>
                <w:rFonts w:eastAsia="Times New Roman"/>
                <w:sz w:val="20"/>
                <w:szCs w:val="20"/>
              </w:rPr>
              <w:t>.378</w:t>
            </w:r>
          </w:p>
        </w:tc>
        <w:tc>
          <w:tcPr>
            <w:tcW w:w="0" w:type="auto"/>
            <w:shd w:val="clear" w:color="auto" w:fill="auto"/>
            <w:noWrap/>
            <w:vAlign w:val="bottom"/>
          </w:tcPr>
          <w:p w14:paraId="1EA1AFC0" w14:textId="77777777" w:rsidR="002939D9" w:rsidRPr="004C646D" w:rsidRDefault="002939D9" w:rsidP="005E2B03">
            <w:pPr>
              <w:spacing w:after="0" w:line="240" w:lineRule="auto"/>
              <w:rPr>
                <w:rFonts w:eastAsia="Times New Roman"/>
                <w:sz w:val="20"/>
                <w:szCs w:val="20"/>
              </w:rPr>
            </w:pPr>
            <w:r w:rsidRPr="004C646D">
              <w:rPr>
                <w:rFonts w:eastAsia="Times New Roman"/>
                <w:sz w:val="20"/>
                <w:szCs w:val="20"/>
              </w:rPr>
              <w:t>.354</w:t>
            </w:r>
          </w:p>
        </w:tc>
        <w:tc>
          <w:tcPr>
            <w:tcW w:w="0" w:type="auto"/>
            <w:shd w:val="clear" w:color="auto" w:fill="auto"/>
            <w:noWrap/>
            <w:vAlign w:val="bottom"/>
          </w:tcPr>
          <w:p w14:paraId="3BE02B52" w14:textId="77777777" w:rsidR="002939D9" w:rsidRPr="004C646D" w:rsidRDefault="002939D9" w:rsidP="005E2B03">
            <w:pPr>
              <w:spacing w:after="0" w:line="240" w:lineRule="auto"/>
              <w:rPr>
                <w:rFonts w:eastAsia="Times New Roman"/>
                <w:sz w:val="20"/>
                <w:szCs w:val="20"/>
              </w:rPr>
            </w:pPr>
            <w:r>
              <w:rPr>
                <w:rFonts w:eastAsia="Times New Roman"/>
                <w:sz w:val="20"/>
                <w:szCs w:val="20"/>
              </w:rPr>
              <w:t>-</w:t>
            </w:r>
          </w:p>
        </w:tc>
        <w:tc>
          <w:tcPr>
            <w:tcW w:w="0" w:type="auto"/>
            <w:shd w:val="clear" w:color="auto" w:fill="auto"/>
            <w:noWrap/>
            <w:vAlign w:val="bottom"/>
          </w:tcPr>
          <w:p w14:paraId="21EAC913" w14:textId="77777777" w:rsidR="002939D9" w:rsidRPr="004C646D" w:rsidRDefault="002939D9" w:rsidP="005E2B03">
            <w:pPr>
              <w:spacing w:after="0" w:line="240" w:lineRule="auto"/>
              <w:rPr>
                <w:rFonts w:eastAsia="Times New Roman"/>
                <w:sz w:val="20"/>
                <w:szCs w:val="20"/>
              </w:rPr>
            </w:pPr>
          </w:p>
        </w:tc>
      </w:tr>
      <w:tr w:rsidR="004D2DC9" w:rsidRPr="004C646D" w14:paraId="32618692" w14:textId="77777777" w:rsidTr="004D2DC9">
        <w:trPr>
          <w:trHeight w:val="87"/>
          <w:jc w:val="center"/>
        </w:trPr>
        <w:tc>
          <w:tcPr>
            <w:tcW w:w="0" w:type="auto"/>
            <w:shd w:val="clear" w:color="auto" w:fill="auto"/>
            <w:noWrap/>
            <w:vAlign w:val="bottom"/>
            <w:hideMark/>
          </w:tcPr>
          <w:p w14:paraId="2F9ECCE2"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7A26C22E"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3BF454E0"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2768DA16"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7C83471E" w14:textId="77777777" w:rsidR="002939D9" w:rsidRPr="004C646D" w:rsidRDefault="002939D9" w:rsidP="005E2B03">
            <w:pPr>
              <w:spacing w:after="0" w:line="240" w:lineRule="auto"/>
              <w:rPr>
                <w:rFonts w:eastAsia="Times New Roman"/>
                <w:sz w:val="20"/>
                <w:szCs w:val="20"/>
              </w:rPr>
            </w:pPr>
          </w:p>
        </w:tc>
        <w:tc>
          <w:tcPr>
            <w:tcW w:w="0" w:type="auto"/>
            <w:shd w:val="clear" w:color="auto" w:fill="auto"/>
            <w:noWrap/>
            <w:vAlign w:val="bottom"/>
            <w:hideMark/>
          </w:tcPr>
          <w:p w14:paraId="534C54E4" w14:textId="77777777" w:rsidR="002939D9" w:rsidRPr="004C646D" w:rsidRDefault="002939D9" w:rsidP="005E2B03">
            <w:pPr>
              <w:spacing w:after="0" w:line="240" w:lineRule="auto"/>
              <w:rPr>
                <w:rFonts w:eastAsia="Times New Roman"/>
                <w:sz w:val="20"/>
                <w:szCs w:val="20"/>
              </w:rPr>
            </w:pPr>
          </w:p>
        </w:tc>
      </w:tr>
    </w:tbl>
    <w:p w14:paraId="7549077E" w14:textId="77777777" w:rsidR="002939D9" w:rsidRPr="001F66E2" w:rsidRDefault="002939D9" w:rsidP="002B4435">
      <w:pPr>
        <w:pBdr>
          <w:top w:val="nil"/>
          <w:left w:val="nil"/>
          <w:bottom w:val="nil"/>
          <w:right w:val="nil"/>
          <w:between w:val="nil"/>
        </w:pBdr>
        <w:spacing w:after="0" w:line="240" w:lineRule="auto"/>
        <w:jc w:val="both"/>
        <w:rPr>
          <w:rFonts w:eastAsia="Times New Roman"/>
          <w:bCs/>
          <w:iCs/>
          <w:sz w:val="20"/>
          <w:szCs w:val="20"/>
          <w:lang w:val="en-GB" w:eastAsia="en-US"/>
        </w:rPr>
      </w:pPr>
    </w:p>
    <w:p w14:paraId="60E40BDF" w14:textId="77777777" w:rsidR="002B4435" w:rsidRPr="002C3A63" w:rsidRDefault="002B4435" w:rsidP="002B4435">
      <w:pPr>
        <w:pBdr>
          <w:top w:val="nil"/>
          <w:left w:val="nil"/>
          <w:bottom w:val="nil"/>
          <w:right w:val="nil"/>
          <w:between w:val="nil"/>
        </w:pBdr>
        <w:spacing w:after="0" w:line="240" w:lineRule="auto"/>
        <w:rPr>
          <w:b/>
          <w:bCs/>
          <w:iCs/>
          <w:sz w:val="20"/>
          <w:szCs w:val="20"/>
          <w:lang w:val="en-GB"/>
        </w:rPr>
      </w:pPr>
    </w:p>
    <w:p w14:paraId="27A8596F" w14:textId="77777777" w:rsidR="002B4435" w:rsidRPr="001F66E2" w:rsidRDefault="002B4435" w:rsidP="002B4435">
      <w:pPr>
        <w:pStyle w:val="NoSpacing"/>
        <w:rPr>
          <w:b/>
          <w:bCs/>
          <w:sz w:val="20"/>
          <w:szCs w:val="20"/>
          <w:lang w:val="en-GB"/>
        </w:rPr>
      </w:pPr>
      <w:bookmarkStart w:id="8" w:name="_Hlk45357124"/>
      <w:r w:rsidRPr="001F66E2">
        <w:rPr>
          <w:b/>
          <w:bCs/>
          <w:sz w:val="20"/>
          <w:szCs w:val="20"/>
          <w:lang w:val="en-GB"/>
        </w:rPr>
        <w:t>Structural Model</w:t>
      </w:r>
    </w:p>
    <w:bookmarkEnd w:id="8"/>
    <w:p w14:paraId="007BAEA0" w14:textId="77777777" w:rsidR="002B4435" w:rsidRPr="001F66E2" w:rsidRDefault="002B4435" w:rsidP="002B4435">
      <w:pPr>
        <w:pBdr>
          <w:top w:val="nil"/>
          <w:left w:val="nil"/>
          <w:bottom w:val="nil"/>
          <w:right w:val="nil"/>
          <w:between w:val="nil"/>
        </w:pBdr>
        <w:spacing w:after="0" w:line="240" w:lineRule="auto"/>
        <w:jc w:val="both"/>
        <w:rPr>
          <w:iCs/>
          <w:sz w:val="20"/>
          <w:szCs w:val="20"/>
          <w:lang w:val="en-GB"/>
        </w:rPr>
      </w:pPr>
      <w:r w:rsidRPr="001F66E2">
        <w:rPr>
          <w:iCs/>
          <w:sz w:val="20"/>
          <w:szCs w:val="20"/>
          <w:lang w:val="en-GB"/>
        </w:rPr>
        <w:t>Structural model assessment was used to examine our proposed hypotheses</w:t>
      </w:r>
      <w:r>
        <w:rPr>
          <w:iCs/>
          <w:sz w:val="20"/>
          <w:szCs w:val="20"/>
          <w:lang w:val="en-GB"/>
        </w:rPr>
        <w:t>,</w:t>
      </w:r>
      <w:r w:rsidRPr="001F66E2">
        <w:rPr>
          <w:iCs/>
          <w:sz w:val="20"/>
          <w:szCs w:val="20"/>
          <w:lang w:val="en-GB"/>
        </w:rPr>
        <w:t xml:space="preserve"> following Hair </w:t>
      </w:r>
      <w:r w:rsidRPr="001F66E2">
        <w:rPr>
          <w:i/>
          <w:sz w:val="20"/>
          <w:szCs w:val="20"/>
          <w:lang w:val="en-GB"/>
        </w:rPr>
        <w:t xml:space="preserve">et </w:t>
      </w:r>
      <w:r>
        <w:rPr>
          <w:i/>
          <w:sz w:val="20"/>
          <w:szCs w:val="20"/>
          <w:lang w:val="en-GB"/>
        </w:rPr>
        <w:t xml:space="preserve">al.’s </w:t>
      </w:r>
      <w:r w:rsidRPr="001F66E2">
        <w:rPr>
          <w:iCs/>
          <w:sz w:val="20"/>
          <w:szCs w:val="20"/>
          <w:lang w:val="en-GB"/>
        </w:rPr>
        <w:t xml:space="preserve">(2014) and Henseler </w:t>
      </w:r>
      <w:r w:rsidRPr="001F66E2">
        <w:rPr>
          <w:i/>
          <w:sz w:val="20"/>
          <w:szCs w:val="20"/>
          <w:lang w:val="en-GB"/>
        </w:rPr>
        <w:t xml:space="preserve">et </w:t>
      </w:r>
      <w:r>
        <w:rPr>
          <w:i/>
          <w:sz w:val="20"/>
          <w:szCs w:val="20"/>
          <w:lang w:val="en-GB"/>
        </w:rPr>
        <w:t>al.’s</w:t>
      </w:r>
      <w:r w:rsidRPr="001F66E2">
        <w:rPr>
          <w:iCs/>
          <w:sz w:val="20"/>
          <w:szCs w:val="20"/>
          <w:lang w:val="en-GB"/>
        </w:rPr>
        <w:t xml:space="preserve"> (2009)</w:t>
      </w:r>
      <w:r>
        <w:rPr>
          <w:iCs/>
          <w:sz w:val="20"/>
          <w:szCs w:val="20"/>
          <w:lang w:val="en-GB"/>
        </w:rPr>
        <w:t xml:space="preserve"> </w:t>
      </w:r>
      <w:r w:rsidRPr="001F66E2">
        <w:rPr>
          <w:iCs/>
          <w:sz w:val="20"/>
          <w:szCs w:val="20"/>
          <w:lang w:val="en-GB"/>
        </w:rPr>
        <w:t>recommendation</w:t>
      </w:r>
      <w:r>
        <w:rPr>
          <w:iCs/>
          <w:sz w:val="20"/>
          <w:szCs w:val="20"/>
          <w:lang w:val="en-GB"/>
        </w:rPr>
        <w:t>s</w:t>
      </w:r>
      <w:r w:rsidRPr="001F66E2">
        <w:rPr>
          <w:iCs/>
          <w:sz w:val="20"/>
          <w:szCs w:val="20"/>
          <w:lang w:val="en-GB"/>
        </w:rPr>
        <w:t xml:space="preserve">. Table 4 shows </w:t>
      </w:r>
      <w:r>
        <w:rPr>
          <w:iCs/>
          <w:sz w:val="20"/>
          <w:szCs w:val="20"/>
          <w:lang w:val="en-GB"/>
        </w:rPr>
        <w:t xml:space="preserve">the </w:t>
      </w:r>
      <w:r w:rsidRPr="001F66E2">
        <w:rPr>
          <w:iCs/>
          <w:sz w:val="20"/>
          <w:szCs w:val="20"/>
          <w:lang w:val="en-GB"/>
        </w:rPr>
        <w:t xml:space="preserve">results of </w:t>
      </w:r>
      <w:r>
        <w:rPr>
          <w:iCs/>
          <w:sz w:val="20"/>
          <w:szCs w:val="20"/>
          <w:lang w:val="en-GB"/>
        </w:rPr>
        <w:t xml:space="preserve">the </w:t>
      </w:r>
      <w:r w:rsidRPr="001F66E2">
        <w:rPr>
          <w:iCs/>
          <w:sz w:val="20"/>
          <w:szCs w:val="20"/>
          <w:lang w:val="en-GB"/>
        </w:rPr>
        <w:t>structural model assessment.</w:t>
      </w:r>
    </w:p>
    <w:p w14:paraId="23E6E58D" w14:textId="77777777" w:rsidR="002B4435" w:rsidRPr="001F66E2" w:rsidRDefault="002B4435" w:rsidP="002B4435">
      <w:pPr>
        <w:pStyle w:val="NoSpacing"/>
        <w:rPr>
          <w:sz w:val="20"/>
          <w:szCs w:val="20"/>
          <w:lang w:val="en-GB"/>
        </w:rPr>
      </w:pPr>
    </w:p>
    <w:p w14:paraId="6C011941" w14:textId="77777777" w:rsidR="002B4435" w:rsidRPr="001F66E2" w:rsidRDefault="002B4435" w:rsidP="002B4435">
      <w:pPr>
        <w:pBdr>
          <w:top w:val="nil"/>
          <w:left w:val="nil"/>
          <w:bottom w:val="nil"/>
          <w:right w:val="nil"/>
          <w:between w:val="nil"/>
        </w:pBdr>
        <w:spacing w:after="0" w:line="240" w:lineRule="auto"/>
        <w:jc w:val="both"/>
        <w:rPr>
          <w:b/>
          <w:bCs/>
          <w:i/>
          <w:sz w:val="20"/>
          <w:szCs w:val="20"/>
          <w:lang w:val="en-GB"/>
        </w:rPr>
      </w:pPr>
      <w:r w:rsidRPr="001F66E2">
        <w:rPr>
          <w:b/>
          <w:bCs/>
          <w:i/>
          <w:sz w:val="20"/>
          <w:szCs w:val="20"/>
          <w:lang w:val="en-GB"/>
        </w:rPr>
        <w:t>R</w:t>
      </w:r>
      <w:r w:rsidRPr="001F66E2">
        <w:rPr>
          <w:b/>
          <w:bCs/>
          <w:i/>
          <w:sz w:val="20"/>
          <w:szCs w:val="20"/>
          <w:vertAlign w:val="superscript"/>
          <w:lang w:val="en-GB"/>
        </w:rPr>
        <w:t xml:space="preserve">2 </w:t>
      </w:r>
      <w:r w:rsidRPr="001F66E2">
        <w:rPr>
          <w:b/>
          <w:bCs/>
          <w:i/>
          <w:sz w:val="20"/>
          <w:szCs w:val="20"/>
          <w:lang w:val="en-GB"/>
        </w:rPr>
        <w:t>Assessment</w:t>
      </w:r>
    </w:p>
    <w:p w14:paraId="0132BF73" w14:textId="404F0117" w:rsidR="002B4435" w:rsidRDefault="002B4435" w:rsidP="002B4435">
      <w:pPr>
        <w:pBdr>
          <w:top w:val="nil"/>
          <w:left w:val="nil"/>
          <w:bottom w:val="nil"/>
          <w:right w:val="nil"/>
          <w:between w:val="nil"/>
        </w:pBdr>
        <w:spacing w:after="0" w:line="240" w:lineRule="auto"/>
        <w:jc w:val="both"/>
        <w:rPr>
          <w:rFonts w:eastAsia="Times New Roman"/>
          <w:iCs/>
          <w:sz w:val="20"/>
          <w:szCs w:val="20"/>
          <w:lang w:val="en-GB" w:eastAsia="en-US"/>
        </w:rPr>
      </w:pPr>
      <w:r>
        <w:rPr>
          <w:rFonts w:eastAsia="Times New Roman"/>
          <w:iCs/>
          <w:sz w:val="20"/>
          <w:szCs w:val="20"/>
          <w:lang w:val="en-GB" w:eastAsia="en-US"/>
        </w:rPr>
        <w:t xml:space="preserve">According to </w:t>
      </w:r>
      <w:r w:rsidRPr="001F66E2">
        <w:rPr>
          <w:rFonts w:eastAsia="Times New Roman"/>
          <w:iCs/>
          <w:sz w:val="20"/>
          <w:szCs w:val="20"/>
          <w:lang w:val="en-GB" w:eastAsia="en-US"/>
        </w:rPr>
        <w:t xml:space="preserve">Hair </w:t>
      </w:r>
      <w:r w:rsidRPr="001F66E2">
        <w:rPr>
          <w:rFonts w:eastAsia="Times New Roman"/>
          <w:i/>
          <w:sz w:val="20"/>
          <w:szCs w:val="20"/>
          <w:lang w:val="en-GB" w:eastAsia="en-US"/>
        </w:rPr>
        <w:t>et al</w:t>
      </w:r>
      <w:r w:rsidRPr="001F66E2">
        <w:rPr>
          <w:rFonts w:eastAsia="Times New Roman"/>
          <w:iCs/>
          <w:sz w:val="20"/>
          <w:szCs w:val="20"/>
          <w:lang w:val="en-GB" w:eastAsia="en-US"/>
        </w:rPr>
        <w:t xml:space="preserve">. (2011) and Henseler </w:t>
      </w:r>
      <w:r w:rsidRPr="001F66E2">
        <w:rPr>
          <w:rFonts w:eastAsia="Times New Roman"/>
          <w:i/>
          <w:sz w:val="20"/>
          <w:szCs w:val="20"/>
          <w:lang w:val="en-GB" w:eastAsia="en-US"/>
        </w:rPr>
        <w:t>et al</w:t>
      </w:r>
      <w:r w:rsidRPr="001F66E2">
        <w:rPr>
          <w:rFonts w:eastAsia="Times New Roman"/>
          <w:iCs/>
          <w:sz w:val="20"/>
          <w:szCs w:val="20"/>
          <w:lang w:val="en-GB" w:eastAsia="en-US"/>
        </w:rPr>
        <w:t xml:space="preserve">. (2009), 0.75, 0.50 </w:t>
      </w:r>
      <w:r>
        <w:rPr>
          <w:rFonts w:eastAsia="Times New Roman"/>
          <w:iCs/>
          <w:sz w:val="20"/>
          <w:szCs w:val="20"/>
          <w:lang w:val="en-GB" w:eastAsia="en-US"/>
        </w:rPr>
        <w:t xml:space="preserve">and </w:t>
      </w:r>
      <w:r w:rsidRPr="001F66E2">
        <w:rPr>
          <w:rFonts w:eastAsia="Times New Roman"/>
          <w:iCs/>
          <w:sz w:val="20"/>
          <w:szCs w:val="20"/>
          <w:lang w:val="en-GB" w:eastAsia="en-US"/>
        </w:rPr>
        <w:t>0.25 R-square value</w:t>
      </w:r>
      <w:r>
        <w:rPr>
          <w:rFonts w:eastAsia="Times New Roman"/>
          <w:iCs/>
          <w:sz w:val="20"/>
          <w:szCs w:val="20"/>
          <w:lang w:val="en-GB" w:eastAsia="en-US"/>
        </w:rPr>
        <w:t>s</w:t>
      </w:r>
      <w:r w:rsidRPr="001F66E2">
        <w:rPr>
          <w:rFonts w:eastAsia="Times New Roman"/>
          <w:iCs/>
          <w:sz w:val="20"/>
          <w:szCs w:val="20"/>
          <w:lang w:val="en-GB" w:eastAsia="en-US"/>
        </w:rPr>
        <w:t xml:space="preserve"> </w:t>
      </w:r>
      <w:r>
        <w:rPr>
          <w:rFonts w:eastAsia="Times New Roman"/>
          <w:iCs/>
          <w:sz w:val="20"/>
          <w:szCs w:val="20"/>
          <w:lang w:val="en-GB" w:eastAsia="en-US"/>
        </w:rPr>
        <w:t xml:space="preserve">report </w:t>
      </w:r>
      <w:r w:rsidRPr="001F66E2">
        <w:rPr>
          <w:rFonts w:eastAsia="Times New Roman"/>
          <w:iCs/>
          <w:sz w:val="20"/>
          <w:szCs w:val="20"/>
          <w:lang w:val="en-GB" w:eastAsia="en-US"/>
        </w:rPr>
        <w:t>substantial, moderate and weak levels of accuracy</w:t>
      </w:r>
      <w:r>
        <w:rPr>
          <w:rFonts w:eastAsia="Times New Roman"/>
          <w:iCs/>
          <w:sz w:val="20"/>
          <w:szCs w:val="20"/>
          <w:lang w:val="en-GB" w:eastAsia="en-US"/>
        </w:rPr>
        <w:t xml:space="preserve">, </w:t>
      </w:r>
      <w:r w:rsidRPr="001F66E2">
        <w:rPr>
          <w:rFonts w:eastAsia="Times New Roman"/>
          <w:iCs/>
          <w:sz w:val="20"/>
          <w:szCs w:val="20"/>
          <w:lang w:val="en-GB" w:eastAsia="en-US"/>
        </w:rPr>
        <w:t xml:space="preserve">respectively. The R-square value obtained in this study was 0.338 for </w:t>
      </w:r>
      <w:r>
        <w:rPr>
          <w:rFonts w:eastAsia="Times New Roman"/>
          <w:iCs/>
          <w:sz w:val="20"/>
          <w:szCs w:val="20"/>
          <w:lang w:val="en-GB" w:eastAsia="en-US"/>
        </w:rPr>
        <w:t>social media</w:t>
      </w:r>
      <w:r w:rsidRPr="001F66E2">
        <w:rPr>
          <w:rFonts w:eastAsia="Times New Roman"/>
          <w:iCs/>
          <w:sz w:val="20"/>
          <w:szCs w:val="20"/>
          <w:lang w:val="en-GB" w:eastAsia="en-US"/>
        </w:rPr>
        <w:t xml:space="preserve"> brand community participation, indicating</w:t>
      </w:r>
      <w:r>
        <w:rPr>
          <w:rFonts w:eastAsia="Times New Roman"/>
          <w:iCs/>
          <w:sz w:val="20"/>
          <w:szCs w:val="20"/>
          <w:lang w:val="en-GB" w:eastAsia="en-US"/>
        </w:rPr>
        <w:t xml:space="preserve"> that</w:t>
      </w:r>
      <w:r w:rsidRPr="001F66E2">
        <w:rPr>
          <w:rFonts w:eastAsia="Times New Roman"/>
          <w:iCs/>
          <w:sz w:val="20"/>
          <w:szCs w:val="20"/>
          <w:lang w:val="en-GB" w:eastAsia="en-US"/>
        </w:rPr>
        <w:t xml:space="preserve"> the exogenous variables</w:t>
      </w:r>
      <w:r>
        <w:rPr>
          <w:rFonts w:eastAsia="Times New Roman"/>
          <w:iCs/>
          <w:sz w:val="20"/>
          <w:szCs w:val="20"/>
          <w:lang w:val="en-GB" w:eastAsia="en-US"/>
        </w:rPr>
        <w:t xml:space="preserve"> of</w:t>
      </w:r>
      <w:r w:rsidRPr="001F66E2">
        <w:rPr>
          <w:rFonts w:eastAsia="Times New Roman"/>
          <w:iCs/>
          <w:sz w:val="20"/>
          <w:szCs w:val="20"/>
          <w:lang w:val="en-GB" w:eastAsia="en-US"/>
        </w:rPr>
        <w:t xml:space="preserve"> consumer incivility and </w:t>
      </w:r>
      <w:r>
        <w:rPr>
          <w:rFonts w:eastAsia="Times New Roman"/>
          <w:iCs/>
          <w:sz w:val="20"/>
          <w:szCs w:val="20"/>
          <w:lang w:val="en-GB" w:eastAsia="en-US"/>
        </w:rPr>
        <w:t>social media</w:t>
      </w:r>
      <w:r w:rsidRPr="001F66E2">
        <w:rPr>
          <w:rFonts w:eastAsia="Times New Roman"/>
          <w:iCs/>
          <w:sz w:val="20"/>
          <w:szCs w:val="20"/>
          <w:lang w:val="en-GB" w:eastAsia="en-US"/>
        </w:rPr>
        <w:t xml:space="preserve"> brand </w:t>
      </w:r>
      <w:r w:rsidRPr="001F66E2">
        <w:rPr>
          <w:rFonts w:eastAsia="Times New Roman"/>
          <w:sz w:val="20"/>
          <w:szCs w:val="20"/>
          <w:lang w:val="en-GB" w:eastAsia="en-US"/>
        </w:rPr>
        <w:t>representatives</w:t>
      </w:r>
      <w:r>
        <w:rPr>
          <w:rFonts w:eastAsia="Times New Roman"/>
          <w:sz w:val="20"/>
          <w:szCs w:val="20"/>
          <w:lang w:val="en-GB" w:eastAsia="en-US"/>
        </w:rPr>
        <w:t>’</w:t>
      </w:r>
      <w:r w:rsidRPr="001F66E2">
        <w:rPr>
          <w:rFonts w:eastAsia="Times New Roman"/>
          <w:sz w:val="20"/>
          <w:szCs w:val="20"/>
          <w:lang w:val="en-GB" w:eastAsia="en-US"/>
        </w:rPr>
        <w:t xml:space="preserve"> </w:t>
      </w:r>
      <w:r w:rsidRPr="001F66E2">
        <w:rPr>
          <w:rFonts w:eastAsia="Times New Roman"/>
          <w:iCs/>
          <w:sz w:val="20"/>
          <w:szCs w:val="20"/>
          <w:lang w:val="en-GB" w:eastAsia="en-US"/>
        </w:rPr>
        <w:t xml:space="preserve">efforts </w:t>
      </w:r>
      <w:r>
        <w:rPr>
          <w:rFonts w:eastAsia="Times New Roman"/>
          <w:iCs/>
          <w:sz w:val="20"/>
          <w:szCs w:val="20"/>
          <w:lang w:val="en-GB" w:eastAsia="en-US"/>
        </w:rPr>
        <w:t xml:space="preserve">to deal with consumer incivility </w:t>
      </w:r>
      <w:r w:rsidRPr="001F66E2">
        <w:rPr>
          <w:rFonts w:eastAsia="Times New Roman"/>
          <w:iCs/>
          <w:sz w:val="20"/>
          <w:szCs w:val="20"/>
          <w:lang w:val="en-GB" w:eastAsia="en-US"/>
        </w:rPr>
        <w:t>combined explained 33.8</w:t>
      </w:r>
      <w:r>
        <w:rPr>
          <w:rFonts w:eastAsia="Times New Roman"/>
          <w:iCs/>
          <w:sz w:val="20"/>
          <w:szCs w:val="20"/>
          <w:lang w:val="en-GB" w:eastAsia="en-US"/>
        </w:rPr>
        <w:t>%</w:t>
      </w:r>
      <w:r w:rsidRPr="001F66E2">
        <w:rPr>
          <w:rFonts w:eastAsia="Times New Roman"/>
          <w:iCs/>
          <w:sz w:val="20"/>
          <w:szCs w:val="20"/>
          <w:lang w:val="en-GB" w:eastAsia="en-US"/>
        </w:rPr>
        <w:t xml:space="preserve"> of the variance in </w:t>
      </w:r>
      <w:r>
        <w:rPr>
          <w:rFonts w:eastAsia="Times New Roman"/>
          <w:iCs/>
          <w:sz w:val="20"/>
          <w:szCs w:val="20"/>
          <w:lang w:val="en-GB" w:eastAsia="en-US"/>
        </w:rPr>
        <w:t>social media</w:t>
      </w:r>
      <w:r w:rsidRPr="001F66E2">
        <w:rPr>
          <w:rFonts w:eastAsia="Times New Roman"/>
          <w:iCs/>
          <w:sz w:val="20"/>
          <w:szCs w:val="20"/>
          <w:lang w:val="en-GB" w:eastAsia="en-US"/>
        </w:rPr>
        <w:t xml:space="preserve"> brand community participation. However, </w:t>
      </w:r>
      <w:r>
        <w:rPr>
          <w:rFonts w:eastAsia="Times New Roman"/>
          <w:iCs/>
          <w:sz w:val="20"/>
          <w:szCs w:val="20"/>
          <w:lang w:val="en-GB" w:eastAsia="en-US"/>
        </w:rPr>
        <w:t xml:space="preserve">the </w:t>
      </w:r>
      <w:r w:rsidRPr="001F66E2">
        <w:rPr>
          <w:rFonts w:eastAsia="Times New Roman"/>
          <w:iCs/>
          <w:sz w:val="20"/>
          <w:szCs w:val="20"/>
          <w:lang w:val="en-GB" w:eastAsia="en-US"/>
        </w:rPr>
        <w:t xml:space="preserve">R-square value for social media </w:t>
      </w:r>
      <w:r>
        <w:rPr>
          <w:rFonts w:eastAsia="Times New Roman"/>
          <w:iCs/>
          <w:sz w:val="20"/>
          <w:szCs w:val="20"/>
          <w:lang w:val="en-GB" w:eastAsia="en-US"/>
        </w:rPr>
        <w:t xml:space="preserve">brand </w:t>
      </w:r>
      <w:r w:rsidRPr="001F66E2">
        <w:rPr>
          <w:rFonts w:eastAsia="Times New Roman"/>
          <w:iCs/>
          <w:sz w:val="20"/>
          <w:szCs w:val="20"/>
          <w:lang w:val="en-GB" w:eastAsia="en-US"/>
        </w:rPr>
        <w:t xml:space="preserve">trust </w:t>
      </w:r>
      <w:r>
        <w:rPr>
          <w:rFonts w:eastAsia="Times New Roman"/>
          <w:iCs/>
          <w:sz w:val="20"/>
          <w:szCs w:val="20"/>
          <w:lang w:val="en-GB" w:eastAsia="en-US"/>
        </w:rPr>
        <w:t xml:space="preserve">was </w:t>
      </w:r>
      <w:r w:rsidRPr="001F66E2">
        <w:rPr>
          <w:rFonts w:eastAsia="Times New Roman"/>
          <w:iCs/>
          <w:sz w:val="20"/>
          <w:szCs w:val="20"/>
          <w:lang w:val="en-GB" w:eastAsia="en-US"/>
        </w:rPr>
        <w:t>0.532</w:t>
      </w:r>
      <w:r>
        <w:rPr>
          <w:rFonts w:eastAsia="Times New Roman"/>
          <w:iCs/>
          <w:sz w:val="20"/>
          <w:szCs w:val="20"/>
          <w:lang w:val="en-GB" w:eastAsia="en-US"/>
        </w:rPr>
        <w:t>,</w:t>
      </w:r>
      <w:r w:rsidRPr="001F66E2">
        <w:rPr>
          <w:rFonts w:eastAsia="Times New Roman"/>
          <w:iCs/>
          <w:sz w:val="20"/>
          <w:szCs w:val="20"/>
          <w:lang w:val="en-GB" w:eastAsia="en-US"/>
        </w:rPr>
        <w:t xml:space="preserve"> indicating that the research model explained 53.2% of </w:t>
      </w:r>
      <w:r>
        <w:rPr>
          <w:rFonts w:eastAsia="Times New Roman"/>
          <w:iCs/>
          <w:sz w:val="20"/>
          <w:szCs w:val="20"/>
          <w:lang w:val="en-GB" w:eastAsia="en-US"/>
        </w:rPr>
        <w:t xml:space="preserve">the </w:t>
      </w:r>
      <w:r w:rsidRPr="001F66E2">
        <w:rPr>
          <w:rFonts w:eastAsia="Times New Roman"/>
          <w:iCs/>
          <w:sz w:val="20"/>
          <w:szCs w:val="20"/>
          <w:lang w:val="en-GB" w:eastAsia="en-US"/>
        </w:rPr>
        <w:t xml:space="preserve">variance in </w:t>
      </w:r>
      <w:r>
        <w:rPr>
          <w:rFonts w:eastAsia="Times New Roman"/>
          <w:iCs/>
          <w:sz w:val="20"/>
          <w:szCs w:val="20"/>
          <w:lang w:val="en-GB" w:eastAsia="en-US"/>
        </w:rPr>
        <w:t>such a variable</w:t>
      </w:r>
      <w:r w:rsidRPr="001F66E2">
        <w:rPr>
          <w:rFonts w:eastAsia="Times New Roman"/>
          <w:iCs/>
          <w:sz w:val="20"/>
          <w:szCs w:val="20"/>
          <w:lang w:val="en-GB" w:eastAsia="en-US"/>
        </w:rPr>
        <w:t xml:space="preserve">. </w:t>
      </w:r>
      <w:r>
        <w:rPr>
          <w:rFonts w:eastAsia="Times New Roman"/>
          <w:iCs/>
          <w:sz w:val="20"/>
          <w:szCs w:val="20"/>
          <w:lang w:val="en-GB" w:eastAsia="en-US"/>
        </w:rPr>
        <w:t xml:space="preserve">The </w:t>
      </w:r>
      <w:r w:rsidRPr="001F66E2">
        <w:rPr>
          <w:rFonts w:eastAsia="Times New Roman"/>
          <w:iCs/>
          <w:sz w:val="20"/>
          <w:szCs w:val="20"/>
          <w:lang w:val="en-GB" w:eastAsia="en-US"/>
        </w:rPr>
        <w:t>R-square values found in this study are presented</w:t>
      </w:r>
      <w:r w:rsidR="00CC14FE">
        <w:rPr>
          <w:rFonts w:eastAsia="Times New Roman"/>
          <w:iCs/>
          <w:sz w:val="20"/>
          <w:szCs w:val="20"/>
          <w:lang w:val="en-GB" w:eastAsia="en-US"/>
        </w:rPr>
        <w:t xml:space="preserve"> in Table 4</w:t>
      </w:r>
      <w:r w:rsidRPr="001F66E2">
        <w:rPr>
          <w:rFonts w:eastAsia="Times New Roman"/>
          <w:iCs/>
          <w:sz w:val="20"/>
          <w:szCs w:val="20"/>
          <w:lang w:val="en-GB" w:eastAsia="en-US"/>
        </w:rPr>
        <w:t>.</w:t>
      </w:r>
      <w:r w:rsidR="00CC14FE">
        <w:rPr>
          <w:rFonts w:eastAsia="Times New Roman"/>
          <w:iCs/>
          <w:sz w:val="20"/>
          <w:szCs w:val="20"/>
          <w:lang w:val="en-GB" w:eastAsia="en-US"/>
        </w:rPr>
        <w:t xml:space="preserve"> </w:t>
      </w:r>
    </w:p>
    <w:p w14:paraId="6C757FEC" w14:textId="72B96AAE" w:rsidR="00CC4ACE" w:rsidRDefault="00CC4ACE" w:rsidP="002B4435">
      <w:pPr>
        <w:pBdr>
          <w:top w:val="nil"/>
          <w:left w:val="nil"/>
          <w:bottom w:val="nil"/>
          <w:right w:val="nil"/>
          <w:between w:val="nil"/>
        </w:pBdr>
        <w:spacing w:after="0" w:line="240" w:lineRule="auto"/>
        <w:jc w:val="both"/>
        <w:rPr>
          <w:rFonts w:eastAsia="Times New Roman"/>
          <w:iCs/>
          <w:sz w:val="20"/>
          <w:szCs w:val="20"/>
          <w:lang w:val="en-GB" w:eastAsia="en-US"/>
        </w:rPr>
      </w:pPr>
    </w:p>
    <w:p w14:paraId="5110DF9A" w14:textId="4C6220EF" w:rsidR="00CC4ACE" w:rsidRPr="00A25872" w:rsidRDefault="00CC4ACE" w:rsidP="00CC4ACE">
      <w:pPr>
        <w:pStyle w:val="NoSpacing"/>
        <w:jc w:val="center"/>
        <w:rPr>
          <w:sz w:val="20"/>
          <w:szCs w:val="20"/>
        </w:rPr>
      </w:pPr>
      <w:r w:rsidRPr="00A25872">
        <w:rPr>
          <w:sz w:val="20"/>
          <w:szCs w:val="20"/>
        </w:rPr>
        <w:t>Table 4: Structural Model Assessment</w:t>
      </w:r>
    </w:p>
    <w:p w14:paraId="6B965D9E" w14:textId="77777777" w:rsidR="00A25872" w:rsidRPr="00CC4ACE" w:rsidRDefault="00A25872" w:rsidP="00CC4ACE">
      <w:pPr>
        <w:pStyle w:val="NoSpacing"/>
        <w:jc w:val="center"/>
        <w:rPr>
          <w:b/>
          <w:bCs/>
          <w:sz w:val="20"/>
          <w:szCs w:val="20"/>
        </w:rPr>
      </w:pPr>
    </w:p>
    <w:tbl>
      <w:tblPr>
        <w:tblW w:w="5000" w:type="pct"/>
        <w:jc w:val="center"/>
        <w:tblBorders>
          <w:top w:val="single" w:sz="4" w:space="0" w:color="auto"/>
          <w:bottom w:val="single" w:sz="4" w:space="0" w:color="auto"/>
        </w:tblBorders>
        <w:tblLook w:val="04A0" w:firstRow="1" w:lastRow="0" w:firstColumn="1" w:lastColumn="0" w:noHBand="0" w:noVBand="1"/>
      </w:tblPr>
      <w:tblGrid>
        <w:gridCol w:w="1151"/>
        <w:gridCol w:w="4164"/>
        <w:gridCol w:w="1027"/>
        <w:gridCol w:w="1212"/>
        <w:gridCol w:w="1198"/>
        <w:gridCol w:w="1453"/>
      </w:tblGrid>
      <w:tr w:rsidR="002756D2" w:rsidRPr="00AE7276" w14:paraId="55A07313" w14:textId="77777777" w:rsidTr="006C3848">
        <w:trPr>
          <w:trHeight w:val="315"/>
          <w:jc w:val="center"/>
        </w:trPr>
        <w:tc>
          <w:tcPr>
            <w:tcW w:w="564" w:type="pct"/>
            <w:tcBorders>
              <w:top w:val="single" w:sz="4" w:space="0" w:color="auto"/>
              <w:bottom w:val="single" w:sz="4" w:space="0" w:color="auto"/>
            </w:tcBorders>
            <w:shd w:val="clear" w:color="auto" w:fill="auto"/>
            <w:vAlign w:val="center"/>
            <w:hideMark/>
          </w:tcPr>
          <w:p w14:paraId="0F5EE7B9" w14:textId="77777777" w:rsidR="00CC4ACE" w:rsidRPr="00AE7276" w:rsidRDefault="00CC4ACE" w:rsidP="005E2B03">
            <w:pPr>
              <w:pStyle w:val="NoSpacing"/>
              <w:rPr>
                <w:color w:val="000000"/>
                <w:sz w:val="20"/>
                <w:szCs w:val="20"/>
              </w:rPr>
            </w:pPr>
            <w:r w:rsidRPr="00AE7276">
              <w:rPr>
                <w:color w:val="000000"/>
                <w:sz w:val="20"/>
                <w:szCs w:val="20"/>
              </w:rPr>
              <w:t>Hypotheses</w:t>
            </w:r>
          </w:p>
        </w:tc>
        <w:tc>
          <w:tcPr>
            <w:tcW w:w="2040" w:type="pct"/>
            <w:tcBorders>
              <w:top w:val="single" w:sz="4" w:space="0" w:color="auto"/>
              <w:bottom w:val="single" w:sz="4" w:space="0" w:color="auto"/>
            </w:tcBorders>
            <w:shd w:val="clear" w:color="auto" w:fill="auto"/>
            <w:vAlign w:val="center"/>
            <w:hideMark/>
          </w:tcPr>
          <w:p w14:paraId="46EC5057" w14:textId="77777777" w:rsidR="00CC4ACE" w:rsidRPr="00AE7276" w:rsidRDefault="00CC4ACE" w:rsidP="005E2B03">
            <w:pPr>
              <w:pStyle w:val="NoSpacing"/>
              <w:rPr>
                <w:color w:val="000000"/>
                <w:sz w:val="20"/>
                <w:szCs w:val="20"/>
              </w:rPr>
            </w:pPr>
            <w:r w:rsidRPr="00AE7276">
              <w:rPr>
                <w:color w:val="000000"/>
                <w:sz w:val="20"/>
                <w:szCs w:val="20"/>
              </w:rPr>
              <w:t>Relationship</w:t>
            </w:r>
          </w:p>
        </w:tc>
        <w:tc>
          <w:tcPr>
            <w:tcW w:w="503" w:type="pct"/>
            <w:tcBorders>
              <w:top w:val="single" w:sz="4" w:space="0" w:color="auto"/>
              <w:bottom w:val="single" w:sz="4" w:space="0" w:color="auto"/>
            </w:tcBorders>
            <w:shd w:val="clear" w:color="auto" w:fill="auto"/>
            <w:vAlign w:val="center"/>
            <w:hideMark/>
          </w:tcPr>
          <w:p w14:paraId="72D2F2EB" w14:textId="77777777" w:rsidR="00CC4ACE" w:rsidRPr="00AE7276" w:rsidRDefault="00CC4ACE" w:rsidP="005E2B03">
            <w:pPr>
              <w:pStyle w:val="NoSpacing"/>
              <w:rPr>
                <w:color w:val="000000"/>
                <w:sz w:val="20"/>
                <w:szCs w:val="20"/>
              </w:rPr>
            </w:pPr>
            <w:r w:rsidRPr="00AE7276">
              <w:rPr>
                <w:color w:val="000000"/>
                <w:sz w:val="20"/>
                <w:szCs w:val="20"/>
              </w:rPr>
              <w:t xml:space="preserve">β </w:t>
            </w:r>
          </w:p>
        </w:tc>
        <w:tc>
          <w:tcPr>
            <w:tcW w:w="594" w:type="pct"/>
            <w:tcBorders>
              <w:top w:val="single" w:sz="4" w:space="0" w:color="auto"/>
              <w:bottom w:val="single" w:sz="4" w:space="0" w:color="auto"/>
            </w:tcBorders>
            <w:shd w:val="clear" w:color="auto" w:fill="auto"/>
            <w:vAlign w:val="center"/>
            <w:hideMark/>
          </w:tcPr>
          <w:p w14:paraId="21BE0EFE" w14:textId="77777777" w:rsidR="00CC4ACE" w:rsidRPr="00AE7276" w:rsidRDefault="00CC4ACE" w:rsidP="005E2B03">
            <w:pPr>
              <w:pStyle w:val="NoSpacing"/>
              <w:rPr>
                <w:color w:val="000000"/>
                <w:sz w:val="20"/>
                <w:szCs w:val="20"/>
              </w:rPr>
            </w:pPr>
            <w:r w:rsidRPr="00AE7276">
              <w:rPr>
                <w:color w:val="000000"/>
                <w:sz w:val="20"/>
                <w:szCs w:val="20"/>
              </w:rPr>
              <w:t>T Value</w:t>
            </w:r>
          </w:p>
        </w:tc>
        <w:tc>
          <w:tcPr>
            <w:tcW w:w="587" w:type="pct"/>
            <w:tcBorders>
              <w:top w:val="single" w:sz="4" w:space="0" w:color="auto"/>
              <w:bottom w:val="single" w:sz="4" w:space="0" w:color="auto"/>
            </w:tcBorders>
            <w:shd w:val="clear" w:color="auto" w:fill="auto"/>
            <w:vAlign w:val="center"/>
            <w:hideMark/>
          </w:tcPr>
          <w:p w14:paraId="1351F63A" w14:textId="77777777" w:rsidR="00CC4ACE" w:rsidRPr="00AE7276" w:rsidRDefault="00CC4ACE" w:rsidP="005E2B03">
            <w:pPr>
              <w:pStyle w:val="NoSpacing"/>
              <w:rPr>
                <w:color w:val="000000"/>
                <w:sz w:val="20"/>
                <w:szCs w:val="20"/>
              </w:rPr>
            </w:pPr>
            <w:r w:rsidRPr="00AE7276">
              <w:rPr>
                <w:color w:val="000000"/>
                <w:sz w:val="20"/>
                <w:szCs w:val="20"/>
              </w:rPr>
              <w:t>P Value</w:t>
            </w:r>
          </w:p>
        </w:tc>
        <w:tc>
          <w:tcPr>
            <w:tcW w:w="712" w:type="pct"/>
            <w:tcBorders>
              <w:top w:val="single" w:sz="4" w:space="0" w:color="auto"/>
              <w:bottom w:val="single" w:sz="4" w:space="0" w:color="auto"/>
            </w:tcBorders>
            <w:shd w:val="clear" w:color="auto" w:fill="auto"/>
            <w:vAlign w:val="center"/>
            <w:hideMark/>
          </w:tcPr>
          <w:p w14:paraId="4A5FBB47" w14:textId="77777777" w:rsidR="00CC4ACE" w:rsidRPr="00AE7276" w:rsidRDefault="00CC4ACE" w:rsidP="005E2B03">
            <w:pPr>
              <w:pStyle w:val="NoSpacing"/>
              <w:rPr>
                <w:color w:val="000000"/>
                <w:sz w:val="20"/>
                <w:szCs w:val="20"/>
              </w:rPr>
            </w:pPr>
            <w:r w:rsidRPr="00AE7276">
              <w:rPr>
                <w:color w:val="000000"/>
                <w:sz w:val="20"/>
                <w:szCs w:val="20"/>
              </w:rPr>
              <w:t>Decision</w:t>
            </w:r>
          </w:p>
        </w:tc>
      </w:tr>
      <w:tr w:rsidR="002756D2" w:rsidRPr="00AE7276" w14:paraId="5BE32C15" w14:textId="77777777" w:rsidTr="006C3848">
        <w:trPr>
          <w:trHeight w:val="315"/>
          <w:jc w:val="center"/>
        </w:trPr>
        <w:tc>
          <w:tcPr>
            <w:tcW w:w="564" w:type="pct"/>
            <w:tcBorders>
              <w:top w:val="single" w:sz="4" w:space="0" w:color="auto"/>
            </w:tcBorders>
            <w:shd w:val="clear" w:color="auto" w:fill="auto"/>
            <w:vAlign w:val="center"/>
            <w:hideMark/>
          </w:tcPr>
          <w:p w14:paraId="076B8968" w14:textId="77777777" w:rsidR="00CC4ACE" w:rsidRPr="00AE7276" w:rsidRDefault="00CC4ACE" w:rsidP="005E2B03">
            <w:pPr>
              <w:pStyle w:val="NoSpacing"/>
              <w:rPr>
                <w:color w:val="000000"/>
                <w:sz w:val="20"/>
                <w:szCs w:val="20"/>
              </w:rPr>
            </w:pPr>
            <w:r w:rsidRPr="00AE7276">
              <w:rPr>
                <w:color w:val="000000"/>
                <w:sz w:val="20"/>
                <w:szCs w:val="20"/>
              </w:rPr>
              <w:t>H1</w:t>
            </w:r>
          </w:p>
        </w:tc>
        <w:tc>
          <w:tcPr>
            <w:tcW w:w="2040" w:type="pct"/>
            <w:tcBorders>
              <w:top w:val="single" w:sz="4" w:space="0" w:color="auto"/>
            </w:tcBorders>
            <w:shd w:val="clear" w:color="auto" w:fill="auto"/>
            <w:vAlign w:val="center"/>
            <w:hideMark/>
          </w:tcPr>
          <w:p w14:paraId="438304AB" w14:textId="0857CE8A" w:rsidR="00CC4ACE" w:rsidRPr="00AE7276" w:rsidRDefault="002756D2" w:rsidP="005E2B03">
            <w:pPr>
              <w:pStyle w:val="NoSpacing"/>
              <w:rPr>
                <w:color w:val="000000"/>
                <w:sz w:val="20"/>
                <w:szCs w:val="20"/>
              </w:rPr>
            </w:pPr>
            <w:r w:rsidRPr="002756D2">
              <w:rPr>
                <w:iCs/>
                <w:color w:val="000000"/>
                <w:sz w:val="20"/>
                <w:szCs w:val="20"/>
                <w:lang w:val="en-GB"/>
              </w:rPr>
              <w:t xml:space="preserve">Consumer Incivility </w:t>
            </w:r>
            <w:r w:rsidRPr="00AE7276">
              <w:rPr>
                <w:color w:val="000000"/>
                <w:sz w:val="20"/>
                <w:szCs w:val="20"/>
              </w:rPr>
              <w:t xml:space="preserve">-&gt; </w:t>
            </w:r>
            <w:r w:rsidRPr="002756D2">
              <w:rPr>
                <w:iCs/>
                <w:color w:val="000000"/>
                <w:sz w:val="20"/>
                <w:szCs w:val="20"/>
                <w:lang w:val="en-GB"/>
              </w:rPr>
              <w:t>Social Media Brand Community Participation</w:t>
            </w:r>
          </w:p>
        </w:tc>
        <w:tc>
          <w:tcPr>
            <w:tcW w:w="503" w:type="pct"/>
            <w:tcBorders>
              <w:top w:val="single" w:sz="4" w:space="0" w:color="auto"/>
            </w:tcBorders>
            <w:shd w:val="clear" w:color="auto" w:fill="auto"/>
            <w:vAlign w:val="center"/>
            <w:hideMark/>
          </w:tcPr>
          <w:p w14:paraId="1456DC35" w14:textId="77777777" w:rsidR="00CC4ACE" w:rsidRPr="00AE7276" w:rsidRDefault="00CC4ACE" w:rsidP="005E2B03">
            <w:pPr>
              <w:pStyle w:val="NoSpacing"/>
              <w:rPr>
                <w:color w:val="000000"/>
                <w:sz w:val="20"/>
                <w:szCs w:val="20"/>
              </w:rPr>
            </w:pPr>
            <w:r w:rsidRPr="00AE7276">
              <w:rPr>
                <w:color w:val="000000"/>
                <w:sz w:val="20"/>
                <w:szCs w:val="20"/>
              </w:rPr>
              <w:t>-0.342</w:t>
            </w:r>
          </w:p>
        </w:tc>
        <w:tc>
          <w:tcPr>
            <w:tcW w:w="594" w:type="pct"/>
            <w:tcBorders>
              <w:top w:val="single" w:sz="4" w:space="0" w:color="auto"/>
            </w:tcBorders>
            <w:shd w:val="clear" w:color="auto" w:fill="auto"/>
            <w:vAlign w:val="center"/>
            <w:hideMark/>
          </w:tcPr>
          <w:p w14:paraId="634A86B0" w14:textId="77777777" w:rsidR="00CC4ACE" w:rsidRPr="00AE7276" w:rsidRDefault="00CC4ACE" w:rsidP="005E2B03">
            <w:pPr>
              <w:pStyle w:val="NoSpacing"/>
              <w:rPr>
                <w:color w:val="000000"/>
                <w:sz w:val="20"/>
                <w:szCs w:val="20"/>
              </w:rPr>
            </w:pPr>
            <w:r w:rsidRPr="00AE7276">
              <w:rPr>
                <w:color w:val="000000"/>
                <w:sz w:val="20"/>
                <w:szCs w:val="20"/>
              </w:rPr>
              <w:t>3.217</w:t>
            </w:r>
          </w:p>
        </w:tc>
        <w:tc>
          <w:tcPr>
            <w:tcW w:w="587" w:type="pct"/>
            <w:tcBorders>
              <w:top w:val="single" w:sz="4" w:space="0" w:color="auto"/>
            </w:tcBorders>
            <w:shd w:val="clear" w:color="auto" w:fill="auto"/>
            <w:vAlign w:val="center"/>
            <w:hideMark/>
          </w:tcPr>
          <w:p w14:paraId="3D1DF8F0" w14:textId="77777777" w:rsidR="00CC4ACE" w:rsidRPr="00AE7276" w:rsidRDefault="00CC4ACE" w:rsidP="005E2B03">
            <w:pPr>
              <w:pStyle w:val="NoSpacing"/>
              <w:rPr>
                <w:color w:val="000000"/>
                <w:sz w:val="20"/>
                <w:szCs w:val="20"/>
              </w:rPr>
            </w:pPr>
            <w:r w:rsidRPr="00AE7276">
              <w:rPr>
                <w:color w:val="000000"/>
                <w:sz w:val="20"/>
                <w:szCs w:val="20"/>
              </w:rPr>
              <w:t>0.000</w:t>
            </w:r>
          </w:p>
        </w:tc>
        <w:tc>
          <w:tcPr>
            <w:tcW w:w="712" w:type="pct"/>
            <w:tcBorders>
              <w:top w:val="single" w:sz="4" w:space="0" w:color="auto"/>
            </w:tcBorders>
            <w:shd w:val="clear" w:color="auto" w:fill="auto"/>
            <w:vAlign w:val="center"/>
            <w:hideMark/>
          </w:tcPr>
          <w:p w14:paraId="41E3D159" w14:textId="77777777" w:rsidR="00CC4ACE" w:rsidRPr="00AE7276" w:rsidRDefault="00CC4ACE" w:rsidP="005E2B03">
            <w:pPr>
              <w:pStyle w:val="NoSpacing"/>
              <w:rPr>
                <w:color w:val="000000"/>
                <w:sz w:val="20"/>
                <w:szCs w:val="20"/>
              </w:rPr>
            </w:pPr>
            <w:r w:rsidRPr="00AE7276">
              <w:rPr>
                <w:color w:val="000000"/>
                <w:sz w:val="20"/>
                <w:szCs w:val="20"/>
              </w:rPr>
              <w:t>Supported</w:t>
            </w:r>
          </w:p>
        </w:tc>
      </w:tr>
      <w:tr w:rsidR="002756D2" w:rsidRPr="00AE7276" w14:paraId="2990FCB9" w14:textId="77777777" w:rsidTr="006C3848">
        <w:trPr>
          <w:trHeight w:val="315"/>
          <w:jc w:val="center"/>
        </w:trPr>
        <w:tc>
          <w:tcPr>
            <w:tcW w:w="564" w:type="pct"/>
            <w:shd w:val="clear" w:color="auto" w:fill="auto"/>
            <w:vAlign w:val="center"/>
          </w:tcPr>
          <w:p w14:paraId="351EF8EC" w14:textId="77777777" w:rsidR="00CC4ACE" w:rsidRPr="00AE7276" w:rsidRDefault="00CC4ACE" w:rsidP="005E2B03">
            <w:pPr>
              <w:pStyle w:val="NoSpacing"/>
              <w:rPr>
                <w:color w:val="000000"/>
                <w:sz w:val="20"/>
                <w:szCs w:val="20"/>
              </w:rPr>
            </w:pPr>
            <w:r>
              <w:rPr>
                <w:color w:val="000000"/>
                <w:sz w:val="20"/>
                <w:szCs w:val="20"/>
              </w:rPr>
              <w:t>H2</w:t>
            </w:r>
          </w:p>
        </w:tc>
        <w:tc>
          <w:tcPr>
            <w:tcW w:w="2040" w:type="pct"/>
            <w:shd w:val="clear" w:color="auto" w:fill="auto"/>
            <w:vAlign w:val="center"/>
          </w:tcPr>
          <w:p w14:paraId="004040AB" w14:textId="5F98E56D" w:rsidR="00CC4ACE" w:rsidRPr="00AE7276" w:rsidRDefault="002756D2" w:rsidP="005E2B03">
            <w:pPr>
              <w:pStyle w:val="NoSpacing"/>
              <w:rPr>
                <w:color w:val="000000"/>
                <w:sz w:val="20"/>
                <w:szCs w:val="20"/>
              </w:rPr>
            </w:pPr>
            <w:r w:rsidRPr="002756D2">
              <w:rPr>
                <w:iCs/>
                <w:color w:val="000000"/>
                <w:sz w:val="20"/>
                <w:szCs w:val="20"/>
                <w:lang w:val="en-GB"/>
              </w:rPr>
              <w:t>Consumer Incivility</w:t>
            </w:r>
            <w:r w:rsidR="00CC4ACE" w:rsidRPr="00AE7276">
              <w:rPr>
                <w:color w:val="000000"/>
                <w:sz w:val="20"/>
                <w:szCs w:val="20"/>
              </w:rPr>
              <w:t xml:space="preserve"> </w:t>
            </w:r>
            <w:r w:rsidRPr="00AE7276">
              <w:rPr>
                <w:color w:val="000000"/>
                <w:sz w:val="20"/>
                <w:szCs w:val="20"/>
              </w:rPr>
              <w:t xml:space="preserve">-&gt; </w:t>
            </w:r>
            <w:r w:rsidRPr="002756D2">
              <w:rPr>
                <w:iCs/>
                <w:color w:val="000000"/>
                <w:sz w:val="20"/>
                <w:szCs w:val="20"/>
                <w:lang w:val="en-GB"/>
              </w:rPr>
              <w:t xml:space="preserve">Social Media Brand </w:t>
            </w:r>
            <w:r w:rsidRPr="002756D2">
              <w:rPr>
                <w:color w:val="000000"/>
                <w:sz w:val="20"/>
                <w:szCs w:val="20"/>
                <w:lang w:val="en-GB"/>
              </w:rPr>
              <w:t xml:space="preserve">Representatives’ </w:t>
            </w:r>
            <w:r w:rsidRPr="002756D2">
              <w:rPr>
                <w:iCs/>
                <w:color w:val="000000"/>
                <w:sz w:val="20"/>
                <w:szCs w:val="20"/>
                <w:lang w:val="en-GB"/>
              </w:rPr>
              <w:t>Efforts</w:t>
            </w:r>
          </w:p>
        </w:tc>
        <w:tc>
          <w:tcPr>
            <w:tcW w:w="503" w:type="pct"/>
            <w:shd w:val="clear" w:color="auto" w:fill="auto"/>
            <w:vAlign w:val="center"/>
          </w:tcPr>
          <w:p w14:paraId="3BFD85D0" w14:textId="77777777" w:rsidR="00CC4ACE" w:rsidRPr="00AE7276" w:rsidRDefault="00CC4ACE" w:rsidP="005E2B03">
            <w:pPr>
              <w:pStyle w:val="NoSpacing"/>
              <w:rPr>
                <w:color w:val="000000"/>
                <w:sz w:val="20"/>
                <w:szCs w:val="20"/>
              </w:rPr>
            </w:pPr>
            <w:r w:rsidRPr="00AE7276">
              <w:rPr>
                <w:color w:val="000000"/>
                <w:sz w:val="20"/>
                <w:szCs w:val="20"/>
              </w:rPr>
              <w:t>-0.</w:t>
            </w:r>
            <w:r>
              <w:rPr>
                <w:color w:val="000000"/>
                <w:sz w:val="20"/>
                <w:szCs w:val="20"/>
              </w:rPr>
              <w:t>450</w:t>
            </w:r>
          </w:p>
        </w:tc>
        <w:tc>
          <w:tcPr>
            <w:tcW w:w="594" w:type="pct"/>
            <w:shd w:val="clear" w:color="auto" w:fill="auto"/>
            <w:vAlign w:val="center"/>
          </w:tcPr>
          <w:p w14:paraId="08033E0E" w14:textId="77777777" w:rsidR="00CC4ACE" w:rsidRPr="00AE7276" w:rsidRDefault="00CC4ACE" w:rsidP="005E2B03">
            <w:pPr>
              <w:pStyle w:val="NoSpacing"/>
              <w:rPr>
                <w:color w:val="000000"/>
                <w:sz w:val="20"/>
                <w:szCs w:val="20"/>
              </w:rPr>
            </w:pPr>
            <w:r>
              <w:rPr>
                <w:color w:val="000000"/>
                <w:sz w:val="20"/>
                <w:szCs w:val="20"/>
              </w:rPr>
              <w:t>7</w:t>
            </w:r>
            <w:r w:rsidRPr="00AE7276">
              <w:rPr>
                <w:color w:val="000000"/>
                <w:sz w:val="20"/>
                <w:szCs w:val="20"/>
              </w:rPr>
              <w:t>.</w:t>
            </w:r>
            <w:r>
              <w:rPr>
                <w:color w:val="000000"/>
                <w:sz w:val="20"/>
                <w:szCs w:val="20"/>
              </w:rPr>
              <w:t>9</w:t>
            </w:r>
            <w:r w:rsidRPr="00AE7276">
              <w:rPr>
                <w:color w:val="000000"/>
                <w:sz w:val="20"/>
                <w:szCs w:val="20"/>
              </w:rPr>
              <w:t>7</w:t>
            </w:r>
            <w:r>
              <w:rPr>
                <w:color w:val="000000"/>
                <w:sz w:val="20"/>
                <w:szCs w:val="20"/>
              </w:rPr>
              <w:t>6</w:t>
            </w:r>
          </w:p>
        </w:tc>
        <w:tc>
          <w:tcPr>
            <w:tcW w:w="587" w:type="pct"/>
            <w:shd w:val="clear" w:color="auto" w:fill="auto"/>
            <w:vAlign w:val="center"/>
          </w:tcPr>
          <w:p w14:paraId="7F705781" w14:textId="77777777" w:rsidR="00CC4ACE" w:rsidRPr="00AE7276" w:rsidRDefault="00CC4ACE" w:rsidP="005E2B03">
            <w:pPr>
              <w:pStyle w:val="NoSpacing"/>
              <w:rPr>
                <w:color w:val="000000"/>
                <w:sz w:val="20"/>
                <w:szCs w:val="20"/>
              </w:rPr>
            </w:pPr>
            <w:r w:rsidRPr="00AE7276">
              <w:rPr>
                <w:color w:val="000000"/>
                <w:sz w:val="20"/>
                <w:szCs w:val="20"/>
              </w:rPr>
              <w:t>0.000</w:t>
            </w:r>
          </w:p>
        </w:tc>
        <w:tc>
          <w:tcPr>
            <w:tcW w:w="712" w:type="pct"/>
            <w:shd w:val="clear" w:color="auto" w:fill="auto"/>
            <w:vAlign w:val="center"/>
          </w:tcPr>
          <w:p w14:paraId="13D9E774" w14:textId="77777777" w:rsidR="00CC4ACE" w:rsidRPr="00AE7276" w:rsidRDefault="00CC4ACE" w:rsidP="005E2B03">
            <w:pPr>
              <w:pStyle w:val="NoSpacing"/>
              <w:rPr>
                <w:color w:val="000000"/>
                <w:sz w:val="20"/>
                <w:szCs w:val="20"/>
              </w:rPr>
            </w:pPr>
            <w:r w:rsidRPr="00AE7276">
              <w:rPr>
                <w:color w:val="000000"/>
                <w:sz w:val="20"/>
                <w:szCs w:val="20"/>
              </w:rPr>
              <w:t>Supported</w:t>
            </w:r>
          </w:p>
        </w:tc>
      </w:tr>
      <w:tr w:rsidR="002756D2" w:rsidRPr="00AE7276" w14:paraId="5FD6DC5D" w14:textId="77777777" w:rsidTr="006C3848">
        <w:trPr>
          <w:trHeight w:val="315"/>
          <w:jc w:val="center"/>
        </w:trPr>
        <w:tc>
          <w:tcPr>
            <w:tcW w:w="564" w:type="pct"/>
            <w:shd w:val="clear" w:color="auto" w:fill="auto"/>
            <w:vAlign w:val="center"/>
          </w:tcPr>
          <w:p w14:paraId="3A3C05CC" w14:textId="77777777" w:rsidR="00CC4ACE" w:rsidRPr="00AE7276" w:rsidRDefault="00CC4ACE" w:rsidP="005E2B03">
            <w:pPr>
              <w:pStyle w:val="NoSpacing"/>
              <w:rPr>
                <w:color w:val="000000"/>
                <w:sz w:val="20"/>
                <w:szCs w:val="20"/>
              </w:rPr>
            </w:pPr>
            <w:r w:rsidRPr="00AE7276">
              <w:rPr>
                <w:color w:val="000000"/>
                <w:sz w:val="20"/>
                <w:szCs w:val="20"/>
              </w:rPr>
              <w:t>H</w:t>
            </w:r>
            <w:r>
              <w:rPr>
                <w:color w:val="000000"/>
                <w:sz w:val="20"/>
                <w:szCs w:val="20"/>
              </w:rPr>
              <w:t>3</w:t>
            </w:r>
          </w:p>
        </w:tc>
        <w:tc>
          <w:tcPr>
            <w:tcW w:w="2040" w:type="pct"/>
            <w:shd w:val="clear" w:color="auto" w:fill="auto"/>
            <w:vAlign w:val="center"/>
          </w:tcPr>
          <w:p w14:paraId="2BB72C9E" w14:textId="390E480C" w:rsidR="00CC4ACE" w:rsidRPr="00AE7276" w:rsidRDefault="002756D2" w:rsidP="005E2B03">
            <w:pPr>
              <w:pStyle w:val="NoSpacing"/>
              <w:rPr>
                <w:color w:val="000000"/>
                <w:sz w:val="20"/>
                <w:szCs w:val="20"/>
              </w:rPr>
            </w:pPr>
            <w:r w:rsidRPr="002756D2">
              <w:rPr>
                <w:iCs/>
                <w:color w:val="000000"/>
                <w:sz w:val="20"/>
                <w:szCs w:val="20"/>
                <w:lang w:val="en-GB"/>
              </w:rPr>
              <w:t>Consumer Incivility</w:t>
            </w:r>
            <w:r w:rsidRPr="00AE7276">
              <w:rPr>
                <w:color w:val="000000"/>
                <w:sz w:val="20"/>
                <w:szCs w:val="20"/>
              </w:rPr>
              <w:t xml:space="preserve"> -&gt; </w:t>
            </w:r>
            <w:r w:rsidRPr="002756D2">
              <w:rPr>
                <w:iCs/>
                <w:color w:val="000000"/>
                <w:sz w:val="20"/>
                <w:szCs w:val="20"/>
                <w:lang w:val="en-GB"/>
              </w:rPr>
              <w:t>Social Media Brand Trust</w:t>
            </w:r>
          </w:p>
        </w:tc>
        <w:tc>
          <w:tcPr>
            <w:tcW w:w="503" w:type="pct"/>
            <w:shd w:val="clear" w:color="auto" w:fill="auto"/>
            <w:vAlign w:val="center"/>
          </w:tcPr>
          <w:p w14:paraId="2D376425" w14:textId="77777777" w:rsidR="00CC4ACE" w:rsidRPr="00AE7276" w:rsidRDefault="00CC4ACE" w:rsidP="005E2B03">
            <w:pPr>
              <w:pStyle w:val="NoSpacing"/>
              <w:rPr>
                <w:color w:val="000000"/>
                <w:sz w:val="20"/>
                <w:szCs w:val="20"/>
              </w:rPr>
            </w:pPr>
            <w:r w:rsidRPr="00AE7276">
              <w:rPr>
                <w:color w:val="000000"/>
                <w:sz w:val="20"/>
                <w:szCs w:val="20"/>
              </w:rPr>
              <w:t>-0.543</w:t>
            </w:r>
          </w:p>
        </w:tc>
        <w:tc>
          <w:tcPr>
            <w:tcW w:w="594" w:type="pct"/>
            <w:shd w:val="clear" w:color="auto" w:fill="auto"/>
            <w:vAlign w:val="center"/>
          </w:tcPr>
          <w:p w14:paraId="4109A281" w14:textId="77777777" w:rsidR="00CC4ACE" w:rsidRPr="00AE7276" w:rsidRDefault="00CC4ACE" w:rsidP="005E2B03">
            <w:pPr>
              <w:pStyle w:val="NoSpacing"/>
              <w:rPr>
                <w:color w:val="000000"/>
                <w:sz w:val="20"/>
                <w:szCs w:val="20"/>
              </w:rPr>
            </w:pPr>
            <w:r w:rsidRPr="00AE7276">
              <w:rPr>
                <w:color w:val="000000"/>
                <w:sz w:val="20"/>
                <w:szCs w:val="20"/>
              </w:rPr>
              <w:t>9.165</w:t>
            </w:r>
          </w:p>
        </w:tc>
        <w:tc>
          <w:tcPr>
            <w:tcW w:w="587" w:type="pct"/>
            <w:shd w:val="clear" w:color="auto" w:fill="auto"/>
            <w:vAlign w:val="center"/>
          </w:tcPr>
          <w:p w14:paraId="29ABF825" w14:textId="77777777" w:rsidR="00CC4ACE" w:rsidRPr="00AE7276" w:rsidRDefault="00CC4ACE" w:rsidP="005E2B03">
            <w:pPr>
              <w:pStyle w:val="NoSpacing"/>
              <w:rPr>
                <w:color w:val="000000"/>
                <w:sz w:val="20"/>
                <w:szCs w:val="20"/>
              </w:rPr>
            </w:pPr>
            <w:r w:rsidRPr="00AE7276">
              <w:rPr>
                <w:color w:val="000000"/>
                <w:sz w:val="20"/>
                <w:szCs w:val="20"/>
              </w:rPr>
              <w:t>0.000</w:t>
            </w:r>
          </w:p>
        </w:tc>
        <w:tc>
          <w:tcPr>
            <w:tcW w:w="712" w:type="pct"/>
            <w:shd w:val="clear" w:color="auto" w:fill="auto"/>
            <w:vAlign w:val="center"/>
          </w:tcPr>
          <w:p w14:paraId="455B6FA5" w14:textId="77777777" w:rsidR="00CC4ACE" w:rsidRPr="00AE7276" w:rsidRDefault="00CC4ACE" w:rsidP="005E2B03">
            <w:pPr>
              <w:pStyle w:val="NoSpacing"/>
              <w:rPr>
                <w:color w:val="000000"/>
                <w:sz w:val="20"/>
                <w:szCs w:val="20"/>
              </w:rPr>
            </w:pPr>
            <w:r w:rsidRPr="00AE7276">
              <w:rPr>
                <w:color w:val="000000"/>
                <w:sz w:val="20"/>
                <w:szCs w:val="20"/>
              </w:rPr>
              <w:t>Supported</w:t>
            </w:r>
          </w:p>
        </w:tc>
      </w:tr>
      <w:tr w:rsidR="002756D2" w:rsidRPr="00AE7276" w14:paraId="35923FB4" w14:textId="77777777" w:rsidTr="006C3848">
        <w:trPr>
          <w:trHeight w:val="315"/>
          <w:jc w:val="center"/>
        </w:trPr>
        <w:tc>
          <w:tcPr>
            <w:tcW w:w="564" w:type="pct"/>
            <w:shd w:val="clear" w:color="auto" w:fill="auto"/>
            <w:vAlign w:val="center"/>
            <w:hideMark/>
          </w:tcPr>
          <w:p w14:paraId="50D0CA4E" w14:textId="77777777" w:rsidR="00CC4ACE" w:rsidRPr="00AE7276" w:rsidRDefault="00CC4ACE" w:rsidP="005E2B03">
            <w:pPr>
              <w:pStyle w:val="NoSpacing"/>
              <w:rPr>
                <w:color w:val="000000"/>
                <w:sz w:val="20"/>
                <w:szCs w:val="20"/>
              </w:rPr>
            </w:pPr>
            <w:r w:rsidRPr="00AE7276">
              <w:rPr>
                <w:color w:val="000000"/>
                <w:sz w:val="20"/>
                <w:szCs w:val="20"/>
              </w:rPr>
              <w:t>H</w:t>
            </w:r>
            <w:r>
              <w:rPr>
                <w:color w:val="000000"/>
                <w:sz w:val="20"/>
                <w:szCs w:val="20"/>
              </w:rPr>
              <w:t>4</w:t>
            </w:r>
          </w:p>
        </w:tc>
        <w:tc>
          <w:tcPr>
            <w:tcW w:w="2040" w:type="pct"/>
            <w:shd w:val="clear" w:color="auto" w:fill="auto"/>
            <w:vAlign w:val="center"/>
            <w:hideMark/>
          </w:tcPr>
          <w:p w14:paraId="74EDE91A" w14:textId="07A66B4E" w:rsidR="00CC4ACE" w:rsidRPr="00AE7276" w:rsidRDefault="002756D2" w:rsidP="005E2B03">
            <w:pPr>
              <w:pStyle w:val="NoSpacing"/>
              <w:rPr>
                <w:color w:val="000000"/>
                <w:sz w:val="20"/>
                <w:szCs w:val="20"/>
              </w:rPr>
            </w:pPr>
            <w:r w:rsidRPr="002756D2">
              <w:rPr>
                <w:iCs/>
                <w:color w:val="000000"/>
                <w:sz w:val="20"/>
                <w:szCs w:val="20"/>
                <w:lang w:val="en-GB"/>
              </w:rPr>
              <w:t xml:space="preserve">Social Media Brand </w:t>
            </w:r>
            <w:r w:rsidRPr="002756D2">
              <w:rPr>
                <w:color w:val="000000"/>
                <w:sz w:val="20"/>
                <w:szCs w:val="20"/>
                <w:lang w:val="en-GB"/>
              </w:rPr>
              <w:t xml:space="preserve">Representatives’ </w:t>
            </w:r>
            <w:r w:rsidRPr="002756D2">
              <w:rPr>
                <w:iCs/>
                <w:color w:val="000000"/>
                <w:sz w:val="20"/>
                <w:szCs w:val="20"/>
                <w:lang w:val="en-GB"/>
              </w:rPr>
              <w:t xml:space="preserve">Efforts </w:t>
            </w:r>
            <w:r w:rsidR="00CC4ACE" w:rsidRPr="00AE7276">
              <w:rPr>
                <w:color w:val="000000"/>
                <w:sz w:val="20"/>
                <w:szCs w:val="20"/>
              </w:rPr>
              <w:t xml:space="preserve">-&gt; </w:t>
            </w:r>
            <w:r w:rsidRPr="002756D2">
              <w:rPr>
                <w:iCs/>
                <w:color w:val="000000"/>
                <w:sz w:val="20"/>
                <w:szCs w:val="20"/>
                <w:lang w:val="en-GB"/>
              </w:rPr>
              <w:t>Social Media Brand Community Participation</w:t>
            </w:r>
          </w:p>
        </w:tc>
        <w:tc>
          <w:tcPr>
            <w:tcW w:w="503" w:type="pct"/>
            <w:shd w:val="clear" w:color="auto" w:fill="auto"/>
            <w:vAlign w:val="center"/>
            <w:hideMark/>
          </w:tcPr>
          <w:p w14:paraId="66147152" w14:textId="77777777" w:rsidR="00CC4ACE" w:rsidRPr="00AE7276" w:rsidRDefault="00CC4ACE" w:rsidP="005E2B03">
            <w:pPr>
              <w:pStyle w:val="NoSpacing"/>
              <w:rPr>
                <w:color w:val="000000"/>
                <w:sz w:val="20"/>
                <w:szCs w:val="20"/>
              </w:rPr>
            </w:pPr>
            <w:r w:rsidRPr="00AE7276">
              <w:rPr>
                <w:color w:val="000000"/>
                <w:sz w:val="20"/>
                <w:szCs w:val="20"/>
              </w:rPr>
              <w:t>0.197</w:t>
            </w:r>
          </w:p>
        </w:tc>
        <w:tc>
          <w:tcPr>
            <w:tcW w:w="594" w:type="pct"/>
            <w:shd w:val="clear" w:color="auto" w:fill="auto"/>
            <w:vAlign w:val="center"/>
            <w:hideMark/>
          </w:tcPr>
          <w:p w14:paraId="394C3FC4" w14:textId="77777777" w:rsidR="00CC4ACE" w:rsidRPr="00AE7276" w:rsidRDefault="00CC4ACE" w:rsidP="005E2B03">
            <w:pPr>
              <w:pStyle w:val="NoSpacing"/>
              <w:rPr>
                <w:color w:val="000000"/>
                <w:sz w:val="20"/>
                <w:szCs w:val="20"/>
              </w:rPr>
            </w:pPr>
            <w:r w:rsidRPr="00AE7276">
              <w:rPr>
                <w:color w:val="000000"/>
                <w:sz w:val="20"/>
                <w:szCs w:val="20"/>
              </w:rPr>
              <w:t>3.703</w:t>
            </w:r>
          </w:p>
        </w:tc>
        <w:tc>
          <w:tcPr>
            <w:tcW w:w="587" w:type="pct"/>
            <w:shd w:val="clear" w:color="auto" w:fill="auto"/>
            <w:vAlign w:val="center"/>
            <w:hideMark/>
          </w:tcPr>
          <w:p w14:paraId="3D370809" w14:textId="77777777" w:rsidR="00CC4ACE" w:rsidRPr="00AE7276" w:rsidRDefault="00CC4ACE" w:rsidP="005E2B03">
            <w:pPr>
              <w:pStyle w:val="NoSpacing"/>
              <w:rPr>
                <w:color w:val="000000"/>
                <w:sz w:val="20"/>
                <w:szCs w:val="20"/>
              </w:rPr>
            </w:pPr>
            <w:r w:rsidRPr="00AE7276">
              <w:rPr>
                <w:color w:val="000000"/>
                <w:sz w:val="20"/>
                <w:szCs w:val="20"/>
              </w:rPr>
              <w:t>0.000</w:t>
            </w:r>
          </w:p>
        </w:tc>
        <w:tc>
          <w:tcPr>
            <w:tcW w:w="712" w:type="pct"/>
            <w:shd w:val="clear" w:color="auto" w:fill="auto"/>
            <w:vAlign w:val="center"/>
            <w:hideMark/>
          </w:tcPr>
          <w:p w14:paraId="033C2634" w14:textId="77777777" w:rsidR="00CC4ACE" w:rsidRPr="00AE7276" w:rsidRDefault="00CC4ACE" w:rsidP="005E2B03">
            <w:pPr>
              <w:pStyle w:val="NoSpacing"/>
              <w:rPr>
                <w:color w:val="000000"/>
                <w:sz w:val="20"/>
                <w:szCs w:val="20"/>
              </w:rPr>
            </w:pPr>
            <w:r w:rsidRPr="00AE7276">
              <w:rPr>
                <w:color w:val="000000"/>
                <w:sz w:val="20"/>
                <w:szCs w:val="20"/>
              </w:rPr>
              <w:t>Supported</w:t>
            </w:r>
          </w:p>
        </w:tc>
      </w:tr>
      <w:tr w:rsidR="002756D2" w:rsidRPr="00AE7276" w14:paraId="6D6327CB" w14:textId="77777777" w:rsidTr="006C3848">
        <w:trPr>
          <w:trHeight w:val="315"/>
          <w:jc w:val="center"/>
        </w:trPr>
        <w:tc>
          <w:tcPr>
            <w:tcW w:w="564" w:type="pct"/>
            <w:shd w:val="clear" w:color="auto" w:fill="auto"/>
            <w:vAlign w:val="center"/>
          </w:tcPr>
          <w:p w14:paraId="46A2B9AE" w14:textId="7DB2C851" w:rsidR="002756D2" w:rsidRPr="00AE7276" w:rsidRDefault="002756D2" w:rsidP="002756D2">
            <w:pPr>
              <w:pStyle w:val="NoSpacing"/>
              <w:rPr>
                <w:color w:val="000000"/>
                <w:sz w:val="20"/>
                <w:szCs w:val="20"/>
              </w:rPr>
            </w:pPr>
            <w:r w:rsidRPr="00AE7276">
              <w:rPr>
                <w:color w:val="000000"/>
                <w:sz w:val="20"/>
                <w:szCs w:val="20"/>
              </w:rPr>
              <w:t>H</w:t>
            </w:r>
            <w:r>
              <w:rPr>
                <w:color w:val="000000"/>
                <w:sz w:val="20"/>
                <w:szCs w:val="20"/>
              </w:rPr>
              <w:t>5</w:t>
            </w:r>
          </w:p>
        </w:tc>
        <w:tc>
          <w:tcPr>
            <w:tcW w:w="2040" w:type="pct"/>
            <w:shd w:val="clear" w:color="auto" w:fill="auto"/>
            <w:vAlign w:val="center"/>
          </w:tcPr>
          <w:p w14:paraId="6BBA1828" w14:textId="081CE775" w:rsidR="002756D2" w:rsidRPr="00AE7276" w:rsidRDefault="002756D2" w:rsidP="002756D2">
            <w:pPr>
              <w:pStyle w:val="NoSpacing"/>
              <w:rPr>
                <w:color w:val="000000"/>
                <w:sz w:val="20"/>
                <w:szCs w:val="20"/>
              </w:rPr>
            </w:pPr>
            <w:r w:rsidRPr="002756D2">
              <w:rPr>
                <w:iCs/>
                <w:color w:val="000000"/>
                <w:sz w:val="20"/>
                <w:szCs w:val="20"/>
                <w:lang w:val="en-GB"/>
              </w:rPr>
              <w:t>Social Media Brand Community Participation</w:t>
            </w:r>
            <w:r w:rsidRPr="00AE7276">
              <w:rPr>
                <w:color w:val="000000"/>
                <w:sz w:val="20"/>
                <w:szCs w:val="20"/>
              </w:rPr>
              <w:t xml:space="preserve"> -&gt; </w:t>
            </w:r>
            <w:r w:rsidRPr="002756D2">
              <w:rPr>
                <w:iCs/>
                <w:color w:val="000000"/>
                <w:sz w:val="20"/>
                <w:szCs w:val="20"/>
                <w:lang w:val="en-GB"/>
              </w:rPr>
              <w:t>Social Media Brand Trust</w:t>
            </w:r>
          </w:p>
        </w:tc>
        <w:tc>
          <w:tcPr>
            <w:tcW w:w="503" w:type="pct"/>
            <w:shd w:val="clear" w:color="auto" w:fill="auto"/>
            <w:vAlign w:val="center"/>
          </w:tcPr>
          <w:p w14:paraId="5D3DAF77" w14:textId="1369094B" w:rsidR="002756D2" w:rsidRPr="00AE7276" w:rsidRDefault="002756D2" w:rsidP="002756D2">
            <w:pPr>
              <w:pStyle w:val="NoSpacing"/>
              <w:rPr>
                <w:color w:val="000000"/>
                <w:sz w:val="20"/>
                <w:szCs w:val="20"/>
              </w:rPr>
            </w:pPr>
            <w:r w:rsidRPr="00AE7276">
              <w:rPr>
                <w:color w:val="000000"/>
                <w:sz w:val="20"/>
                <w:szCs w:val="20"/>
              </w:rPr>
              <w:t>0.509</w:t>
            </w:r>
          </w:p>
        </w:tc>
        <w:tc>
          <w:tcPr>
            <w:tcW w:w="594" w:type="pct"/>
            <w:shd w:val="clear" w:color="auto" w:fill="auto"/>
            <w:vAlign w:val="center"/>
          </w:tcPr>
          <w:p w14:paraId="228148AA" w14:textId="3F963B7E" w:rsidR="002756D2" w:rsidRPr="00AE7276" w:rsidRDefault="002756D2" w:rsidP="002756D2">
            <w:pPr>
              <w:pStyle w:val="NoSpacing"/>
              <w:rPr>
                <w:color w:val="000000"/>
                <w:sz w:val="20"/>
                <w:szCs w:val="20"/>
              </w:rPr>
            </w:pPr>
            <w:r w:rsidRPr="00AE7276">
              <w:rPr>
                <w:color w:val="000000"/>
                <w:sz w:val="20"/>
                <w:szCs w:val="20"/>
              </w:rPr>
              <w:t>8.213</w:t>
            </w:r>
          </w:p>
        </w:tc>
        <w:tc>
          <w:tcPr>
            <w:tcW w:w="587" w:type="pct"/>
            <w:shd w:val="clear" w:color="auto" w:fill="auto"/>
            <w:vAlign w:val="center"/>
          </w:tcPr>
          <w:p w14:paraId="54CD72D4" w14:textId="017521ED" w:rsidR="002756D2" w:rsidRPr="00AE7276" w:rsidRDefault="002756D2" w:rsidP="002756D2">
            <w:pPr>
              <w:pStyle w:val="NoSpacing"/>
              <w:rPr>
                <w:color w:val="000000"/>
                <w:sz w:val="20"/>
                <w:szCs w:val="20"/>
              </w:rPr>
            </w:pPr>
            <w:r w:rsidRPr="00AE7276">
              <w:rPr>
                <w:color w:val="000000"/>
                <w:sz w:val="20"/>
                <w:szCs w:val="20"/>
              </w:rPr>
              <w:t>0.000</w:t>
            </w:r>
          </w:p>
        </w:tc>
        <w:tc>
          <w:tcPr>
            <w:tcW w:w="712" w:type="pct"/>
            <w:shd w:val="clear" w:color="auto" w:fill="auto"/>
            <w:vAlign w:val="center"/>
          </w:tcPr>
          <w:p w14:paraId="68BB1D62" w14:textId="05A329B6" w:rsidR="002756D2" w:rsidRPr="00AE7276" w:rsidRDefault="002756D2" w:rsidP="002756D2">
            <w:pPr>
              <w:pStyle w:val="NoSpacing"/>
              <w:rPr>
                <w:color w:val="000000"/>
                <w:sz w:val="20"/>
                <w:szCs w:val="20"/>
              </w:rPr>
            </w:pPr>
            <w:r w:rsidRPr="00AE7276">
              <w:rPr>
                <w:color w:val="000000"/>
                <w:sz w:val="20"/>
                <w:szCs w:val="20"/>
              </w:rPr>
              <w:t>Supported</w:t>
            </w:r>
          </w:p>
        </w:tc>
      </w:tr>
      <w:tr w:rsidR="00A921D9" w:rsidRPr="00AE7276" w14:paraId="4ECCE4F7" w14:textId="77777777" w:rsidTr="006C3848">
        <w:trPr>
          <w:trHeight w:val="315"/>
          <w:jc w:val="center"/>
        </w:trPr>
        <w:tc>
          <w:tcPr>
            <w:tcW w:w="5000" w:type="pct"/>
            <w:gridSpan w:val="6"/>
            <w:shd w:val="clear" w:color="auto" w:fill="auto"/>
            <w:vAlign w:val="center"/>
          </w:tcPr>
          <w:p w14:paraId="13A2275D" w14:textId="575BB7B9" w:rsidR="00A921D9" w:rsidRPr="00AE7276" w:rsidRDefault="00A921D9" w:rsidP="002756D2">
            <w:pPr>
              <w:pStyle w:val="NoSpacing"/>
              <w:rPr>
                <w:color w:val="000000"/>
                <w:sz w:val="20"/>
                <w:szCs w:val="20"/>
              </w:rPr>
            </w:pPr>
            <w:r w:rsidRPr="00A921D9">
              <w:rPr>
                <w:b/>
                <w:bCs/>
                <w:iCs/>
                <w:sz w:val="20"/>
                <w:szCs w:val="20"/>
              </w:rPr>
              <w:t>R</w:t>
            </w:r>
            <w:r w:rsidRPr="0036531C">
              <w:rPr>
                <w:b/>
                <w:bCs/>
                <w:iCs/>
                <w:sz w:val="20"/>
                <w:szCs w:val="20"/>
                <w:vertAlign w:val="superscript"/>
              </w:rPr>
              <w:t>2</w:t>
            </w:r>
            <w:r w:rsidRPr="00A921D9">
              <w:rPr>
                <w:b/>
                <w:bCs/>
                <w:iCs/>
                <w:sz w:val="20"/>
                <w:szCs w:val="20"/>
              </w:rPr>
              <w:t xml:space="preserve"> Adjusted</w:t>
            </w:r>
            <w:r>
              <w:rPr>
                <w:iCs/>
                <w:sz w:val="20"/>
                <w:szCs w:val="20"/>
              </w:rPr>
              <w:t xml:space="preserve">: </w:t>
            </w:r>
            <w:r w:rsidRPr="00A921D9">
              <w:rPr>
                <w:iCs/>
                <w:sz w:val="20"/>
                <w:szCs w:val="20"/>
                <w:lang w:val="en-GB"/>
              </w:rPr>
              <w:t>Social Media Brand Community Participation</w:t>
            </w:r>
            <w:r w:rsidRPr="00485AA8">
              <w:rPr>
                <w:iCs/>
                <w:sz w:val="20"/>
                <w:szCs w:val="20"/>
              </w:rPr>
              <w:t xml:space="preserve"> 33.8%, </w:t>
            </w:r>
            <w:r w:rsidRPr="00A921D9">
              <w:rPr>
                <w:iCs/>
                <w:sz w:val="20"/>
                <w:szCs w:val="20"/>
                <w:lang w:val="en-GB"/>
              </w:rPr>
              <w:t>Social Media Brand Trust</w:t>
            </w:r>
            <w:r w:rsidRPr="00485AA8">
              <w:rPr>
                <w:iCs/>
                <w:sz w:val="20"/>
                <w:szCs w:val="20"/>
              </w:rPr>
              <w:t xml:space="preserve"> 53.2%</w:t>
            </w:r>
            <w:r>
              <w:rPr>
                <w:iCs/>
                <w:sz w:val="20"/>
                <w:szCs w:val="20"/>
              </w:rPr>
              <w:t xml:space="preserve"> </w:t>
            </w:r>
          </w:p>
        </w:tc>
      </w:tr>
    </w:tbl>
    <w:p w14:paraId="2578AAD4" w14:textId="77777777" w:rsidR="00CC4ACE" w:rsidRPr="00AE7276" w:rsidRDefault="00CC4ACE" w:rsidP="00CC4ACE">
      <w:pPr>
        <w:pStyle w:val="NoSpacing"/>
        <w:rPr>
          <w:sz w:val="20"/>
          <w:szCs w:val="20"/>
        </w:rPr>
      </w:pPr>
    </w:p>
    <w:p w14:paraId="5139C30B" w14:textId="77777777" w:rsidR="002B4435" w:rsidRPr="001F66E2" w:rsidRDefault="002B4435" w:rsidP="002B4435">
      <w:pPr>
        <w:spacing w:after="0" w:line="240" w:lineRule="auto"/>
        <w:rPr>
          <w:b/>
          <w:bCs/>
          <w:i/>
          <w:iCs/>
          <w:sz w:val="20"/>
          <w:szCs w:val="20"/>
          <w:lang w:val="en-GB"/>
        </w:rPr>
      </w:pPr>
      <w:r w:rsidRPr="001F66E2">
        <w:rPr>
          <w:b/>
          <w:bCs/>
          <w:i/>
          <w:iCs/>
          <w:sz w:val="20"/>
          <w:szCs w:val="20"/>
          <w:lang w:val="en-GB"/>
        </w:rPr>
        <w:t>Assessment of</w:t>
      </w:r>
      <w:r>
        <w:rPr>
          <w:b/>
          <w:bCs/>
          <w:i/>
          <w:iCs/>
          <w:sz w:val="20"/>
          <w:szCs w:val="20"/>
          <w:lang w:val="en-GB"/>
        </w:rPr>
        <w:t xml:space="preserve"> the</w:t>
      </w:r>
      <w:r w:rsidRPr="001F66E2">
        <w:rPr>
          <w:b/>
          <w:bCs/>
          <w:i/>
          <w:iCs/>
          <w:sz w:val="20"/>
          <w:szCs w:val="20"/>
          <w:lang w:val="en-GB"/>
        </w:rPr>
        <w:t xml:space="preserve"> effect size of the model</w:t>
      </w:r>
    </w:p>
    <w:p w14:paraId="65CBCFEC" w14:textId="546C703D" w:rsidR="002B4435" w:rsidRDefault="002B4435" w:rsidP="002B4435">
      <w:pPr>
        <w:pStyle w:val="NoSpacing"/>
        <w:rPr>
          <w:iCs/>
          <w:sz w:val="20"/>
          <w:szCs w:val="20"/>
          <w:lang w:val="en-GB"/>
        </w:rPr>
      </w:pPr>
      <w:r w:rsidRPr="001F66E2">
        <w:rPr>
          <w:iCs/>
          <w:sz w:val="20"/>
          <w:szCs w:val="20"/>
          <w:lang w:val="en-GB"/>
        </w:rPr>
        <w:t xml:space="preserve">As per Chin (2010), researchers should determine </w:t>
      </w:r>
      <w:r>
        <w:rPr>
          <w:iCs/>
          <w:sz w:val="20"/>
          <w:szCs w:val="20"/>
          <w:lang w:val="en-GB"/>
        </w:rPr>
        <w:t xml:space="preserve">the </w:t>
      </w:r>
      <w:r w:rsidRPr="001F66E2">
        <w:rPr>
          <w:iCs/>
          <w:sz w:val="20"/>
          <w:szCs w:val="20"/>
          <w:lang w:val="en-GB"/>
        </w:rPr>
        <w:t>effect size (f</w:t>
      </w:r>
      <w:r w:rsidRPr="001F66E2">
        <w:rPr>
          <w:iCs/>
          <w:sz w:val="20"/>
          <w:szCs w:val="20"/>
          <w:vertAlign w:val="superscript"/>
          <w:lang w:val="en-GB"/>
        </w:rPr>
        <w:t>2</w:t>
      </w:r>
      <w:r w:rsidRPr="001F66E2">
        <w:rPr>
          <w:iCs/>
          <w:sz w:val="20"/>
          <w:szCs w:val="20"/>
          <w:lang w:val="en-GB"/>
        </w:rPr>
        <w:t>)</w:t>
      </w:r>
      <w:r>
        <w:rPr>
          <w:iCs/>
          <w:sz w:val="20"/>
          <w:szCs w:val="20"/>
          <w:lang w:val="en-GB"/>
        </w:rPr>
        <w:t>,</w:t>
      </w:r>
      <w:r w:rsidRPr="001F66E2">
        <w:rPr>
          <w:iCs/>
          <w:sz w:val="20"/>
          <w:szCs w:val="20"/>
          <w:lang w:val="en-GB"/>
        </w:rPr>
        <w:t xml:space="preserve"> which is complementary to R-square (R</w:t>
      </w:r>
      <w:r w:rsidRPr="001F66E2">
        <w:rPr>
          <w:iCs/>
          <w:sz w:val="20"/>
          <w:szCs w:val="20"/>
          <w:vertAlign w:val="superscript"/>
          <w:lang w:val="en-GB"/>
        </w:rPr>
        <w:t>2</w:t>
      </w:r>
      <w:r w:rsidRPr="001F66E2">
        <w:rPr>
          <w:iCs/>
          <w:sz w:val="20"/>
          <w:szCs w:val="20"/>
          <w:lang w:val="en-GB"/>
        </w:rPr>
        <w:t>). Cohen</w:t>
      </w:r>
      <w:r>
        <w:rPr>
          <w:iCs/>
          <w:sz w:val="20"/>
          <w:szCs w:val="20"/>
          <w:lang w:val="en-GB"/>
        </w:rPr>
        <w:t>’s</w:t>
      </w:r>
      <w:r w:rsidRPr="001F66E2">
        <w:rPr>
          <w:iCs/>
          <w:sz w:val="20"/>
          <w:szCs w:val="20"/>
          <w:lang w:val="en-GB"/>
        </w:rPr>
        <w:t xml:space="preserve"> (1988) f</w:t>
      </w:r>
      <w:r w:rsidRPr="001F66E2">
        <w:rPr>
          <w:iCs/>
          <w:sz w:val="20"/>
          <w:szCs w:val="20"/>
          <w:vertAlign w:val="superscript"/>
          <w:lang w:val="en-GB"/>
        </w:rPr>
        <w:t>2</w:t>
      </w:r>
      <w:r w:rsidRPr="001F66E2">
        <w:rPr>
          <w:iCs/>
          <w:sz w:val="20"/>
          <w:szCs w:val="20"/>
          <w:lang w:val="en-GB"/>
        </w:rPr>
        <w:t xml:space="preserve"> values of 0.02, 0.15 and 0.35</w:t>
      </w:r>
      <w:r>
        <w:rPr>
          <w:iCs/>
          <w:sz w:val="20"/>
          <w:szCs w:val="20"/>
          <w:lang w:val="en-GB"/>
        </w:rPr>
        <w:t xml:space="preserve"> were</w:t>
      </w:r>
      <w:r w:rsidRPr="001F66E2">
        <w:rPr>
          <w:iCs/>
          <w:sz w:val="20"/>
          <w:szCs w:val="20"/>
          <w:lang w:val="en-GB"/>
        </w:rPr>
        <w:t xml:space="preserve"> interpreted as small, medium and large</w:t>
      </w:r>
      <w:r>
        <w:rPr>
          <w:iCs/>
          <w:sz w:val="20"/>
          <w:szCs w:val="20"/>
          <w:lang w:val="en-GB"/>
        </w:rPr>
        <w:t>,</w:t>
      </w:r>
      <w:r w:rsidRPr="001F66E2">
        <w:rPr>
          <w:iCs/>
          <w:sz w:val="20"/>
          <w:szCs w:val="20"/>
          <w:lang w:val="en-GB"/>
        </w:rPr>
        <w:t xml:space="preserve"> respectively. Table </w:t>
      </w:r>
      <w:r w:rsidR="001D6337">
        <w:rPr>
          <w:iCs/>
          <w:sz w:val="20"/>
          <w:szCs w:val="20"/>
          <w:lang w:val="en-GB"/>
        </w:rPr>
        <w:t>5</w:t>
      </w:r>
      <w:r w:rsidRPr="001F66E2">
        <w:rPr>
          <w:iCs/>
          <w:sz w:val="20"/>
          <w:szCs w:val="20"/>
          <w:lang w:val="en-GB"/>
        </w:rPr>
        <w:t xml:space="preserve"> s</w:t>
      </w:r>
      <w:r>
        <w:rPr>
          <w:iCs/>
          <w:sz w:val="20"/>
          <w:szCs w:val="20"/>
          <w:lang w:val="en-GB"/>
        </w:rPr>
        <w:t>how</w:t>
      </w:r>
      <w:r w:rsidRPr="001F66E2">
        <w:rPr>
          <w:iCs/>
          <w:sz w:val="20"/>
          <w:szCs w:val="20"/>
          <w:lang w:val="en-GB"/>
        </w:rPr>
        <w:t xml:space="preserve">s that the effect size for </w:t>
      </w:r>
      <w:r>
        <w:rPr>
          <w:iCs/>
          <w:sz w:val="20"/>
          <w:szCs w:val="20"/>
          <w:lang w:val="en-GB"/>
        </w:rPr>
        <w:t xml:space="preserve">the </w:t>
      </w:r>
      <w:r w:rsidRPr="001F66E2">
        <w:rPr>
          <w:iCs/>
          <w:sz w:val="20"/>
          <w:szCs w:val="20"/>
          <w:lang w:val="en-GB"/>
        </w:rPr>
        <w:t xml:space="preserve">path </w:t>
      </w:r>
      <w:r>
        <w:rPr>
          <w:iCs/>
          <w:sz w:val="20"/>
          <w:szCs w:val="20"/>
          <w:lang w:val="en-GB"/>
        </w:rPr>
        <w:t xml:space="preserve">from </w:t>
      </w:r>
      <w:r w:rsidRPr="001F66E2">
        <w:rPr>
          <w:iCs/>
          <w:sz w:val="20"/>
          <w:szCs w:val="20"/>
          <w:lang w:val="en-GB"/>
        </w:rPr>
        <w:t xml:space="preserve">consumer incivility to </w:t>
      </w:r>
      <w:r>
        <w:rPr>
          <w:iCs/>
          <w:sz w:val="20"/>
          <w:szCs w:val="20"/>
          <w:lang w:val="en-GB"/>
        </w:rPr>
        <w:t>social media</w:t>
      </w:r>
      <w:r w:rsidRPr="001F66E2">
        <w:rPr>
          <w:iCs/>
          <w:sz w:val="20"/>
          <w:szCs w:val="20"/>
          <w:lang w:val="en-GB"/>
        </w:rPr>
        <w:t xml:space="preserve"> brand community participation (0.</w:t>
      </w:r>
      <w:r w:rsidR="00B600E6">
        <w:rPr>
          <w:iCs/>
          <w:sz w:val="20"/>
          <w:szCs w:val="20"/>
          <w:lang w:val="en-GB"/>
        </w:rPr>
        <w:t>237</w:t>
      </w:r>
      <w:r w:rsidRPr="001F66E2">
        <w:rPr>
          <w:iCs/>
          <w:sz w:val="20"/>
          <w:szCs w:val="20"/>
          <w:lang w:val="en-GB"/>
        </w:rPr>
        <w:t xml:space="preserve">) </w:t>
      </w:r>
      <w:r w:rsidR="008A5166">
        <w:rPr>
          <w:iCs/>
          <w:sz w:val="20"/>
          <w:szCs w:val="20"/>
          <w:lang w:val="en-GB"/>
        </w:rPr>
        <w:t xml:space="preserve">and </w:t>
      </w:r>
      <w:r w:rsidR="008A5166" w:rsidRPr="001F66E2">
        <w:rPr>
          <w:iCs/>
          <w:sz w:val="20"/>
          <w:szCs w:val="20"/>
          <w:lang w:val="en-GB"/>
        </w:rPr>
        <w:t xml:space="preserve">consumer incivility to </w:t>
      </w:r>
      <w:r w:rsidR="008A5166">
        <w:rPr>
          <w:iCs/>
          <w:sz w:val="20"/>
          <w:szCs w:val="20"/>
          <w:lang w:val="en-GB"/>
        </w:rPr>
        <w:t>social media</w:t>
      </w:r>
      <w:r w:rsidR="008A5166" w:rsidRPr="001F66E2">
        <w:rPr>
          <w:iCs/>
          <w:sz w:val="20"/>
          <w:szCs w:val="20"/>
          <w:lang w:val="en-GB"/>
        </w:rPr>
        <w:t xml:space="preserve"> brand </w:t>
      </w:r>
      <w:proofErr w:type="spellStart"/>
      <w:r w:rsidR="008A5166">
        <w:rPr>
          <w:iCs/>
          <w:sz w:val="20"/>
          <w:szCs w:val="20"/>
          <w:lang w:val="en-GB"/>
        </w:rPr>
        <w:t>brand</w:t>
      </w:r>
      <w:proofErr w:type="spellEnd"/>
      <w:r w:rsidR="008A5166">
        <w:rPr>
          <w:iCs/>
          <w:sz w:val="20"/>
          <w:szCs w:val="20"/>
          <w:lang w:val="en-GB"/>
        </w:rPr>
        <w:t xml:space="preserve"> trust (0.152) </w:t>
      </w:r>
      <w:r>
        <w:rPr>
          <w:iCs/>
          <w:sz w:val="20"/>
          <w:szCs w:val="20"/>
          <w:lang w:val="en-GB"/>
        </w:rPr>
        <w:t xml:space="preserve">was </w:t>
      </w:r>
      <w:r w:rsidR="00B600E6">
        <w:rPr>
          <w:iCs/>
          <w:sz w:val="20"/>
          <w:szCs w:val="20"/>
          <w:lang w:val="en-GB"/>
        </w:rPr>
        <w:t>moderate</w:t>
      </w:r>
      <w:r w:rsidRPr="001F66E2">
        <w:rPr>
          <w:iCs/>
          <w:sz w:val="20"/>
          <w:szCs w:val="20"/>
          <w:lang w:val="en-GB"/>
        </w:rPr>
        <w:t xml:space="preserve"> as per </w:t>
      </w:r>
      <w:r>
        <w:rPr>
          <w:iCs/>
          <w:sz w:val="20"/>
          <w:szCs w:val="20"/>
          <w:lang w:val="en-GB"/>
        </w:rPr>
        <w:t xml:space="preserve">Cohen’s </w:t>
      </w:r>
      <w:r w:rsidRPr="001F66E2">
        <w:rPr>
          <w:iCs/>
          <w:sz w:val="20"/>
          <w:szCs w:val="20"/>
          <w:lang w:val="en-GB"/>
        </w:rPr>
        <w:t>(1988)</w:t>
      </w:r>
      <w:r>
        <w:rPr>
          <w:iCs/>
          <w:sz w:val="20"/>
          <w:szCs w:val="20"/>
          <w:lang w:val="en-GB"/>
        </w:rPr>
        <w:t xml:space="preserve"> </w:t>
      </w:r>
      <w:r w:rsidRPr="001F66E2">
        <w:rPr>
          <w:iCs/>
          <w:sz w:val="20"/>
          <w:szCs w:val="20"/>
          <w:lang w:val="en-GB"/>
        </w:rPr>
        <w:t>criteria</w:t>
      </w:r>
      <w:r>
        <w:rPr>
          <w:iCs/>
          <w:sz w:val="20"/>
          <w:szCs w:val="20"/>
          <w:lang w:val="en-GB"/>
        </w:rPr>
        <w:t>,</w:t>
      </w:r>
      <w:r w:rsidRPr="001F66E2">
        <w:rPr>
          <w:iCs/>
          <w:sz w:val="20"/>
          <w:szCs w:val="20"/>
          <w:lang w:val="en-GB"/>
        </w:rPr>
        <w:t xml:space="preserve"> </w:t>
      </w:r>
      <w:r>
        <w:rPr>
          <w:iCs/>
          <w:sz w:val="20"/>
          <w:szCs w:val="20"/>
          <w:lang w:val="en-GB"/>
        </w:rPr>
        <w:t xml:space="preserve">whereas the </w:t>
      </w:r>
      <w:r w:rsidRPr="001F66E2">
        <w:rPr>
          <w:iCs/>
          <w:sz w:val="20"/>
          <w:szCs w:val="20"/>
          <w:lang w:val="en-GB"/>
        </w:rPr>
        <w:t xml:space="preserve">effect size for the path </w:t>
      </w:r>
      <w:r>
        <w:rPr>
          <w:iCs/>
          <w:sz w:val="20"/>
          <w:szCs w:val="20"/>
          <w:lang w:val="en-GB"/>
        </w:rPr>
        <w:t xml:space="preserve">from social media representatives’ efforts to deal with consumer incivility </w:t>
      </w:r>
      <w:r w:rsidRPr="001F66E2">
        <w:rPr>
          <w:iCs/>
          <w:sz w:val="20"/>
          <w:szCs w:val="20"/>
          <w:lang w:val="en-GB"/>
        </w:rPr>
        <w:t xml:space="preserve">to </w:t>
      </w:r>
      <w:r>
        <w:rPr>
          <w:iCs/>
          <w:sz w:val="20"/>
          <w:szCs w:val="20"/>
          <w:lang w:val="en-GB"/>
        </w:rPr>
        <w:t>social media</w:t>
      </w:r>
      <w:r w:rsidRPr="001F66E2">
        <w:rPr>
          <w:iCs/>
          <w:sz w:val="20"/>
          <w:szCs w:val="20"/>
          <w:lang w:val="en-GB"/>
        </w:rPr>
        <w:t xml:space="preserve"> brand community participation (</w:t>
      </w:r>
      <w:r w:rsidR="00B600E6">
        <w:rPr>
          <w:iCs/>
          <w:sz w:val="20"/>
          <w:szCs w:val="20"/>
          <w:lang w:val="en-GB"/>
        </w:rPr>
        <w:t>0.048</w:t>
      </w:r>
      <w:r w:rsidRPr="001F66E2">
        <w:rPr>
          <w:iCs/>
          <w:sz w:val="20"/>
          <w:szCs w:val="20"/>
          <w:lang w:val="en-GB"/>
        </w:rPr>
        <w:t xml:space="preserve">) </w:t>
      </w:r>
      <w:r>
        <w:rPr>
          <w:iCs/>
          <w:sz w:val="20"/>
          <w:szCs w:val="20"/>
          <w:lang w:val="en-GB"/>
        </w:rPr>
        <w:t xml:space="preserve">was </w:t>
      </w:r>
      <w:r w:rsidR="00B600E6">
        <w:rPr>
          <w:iCs/>
          <w:sz w:val="20"/>
          <w:szCs w:val="20"/>
          <w:lang w:val="en-GB"/>
        </w:rPr>
        <w:t>small</w:t>
      </w:r>
      <w:r w:rsidRPr="001F66E2">
        <w:rPr>
          <w:iCs/>
          <w:sz w:val="20"/>
          <w:szCs w:val="20"/>
          <w:lang w:val="en-GB"/>
        </w:rPr>
        <w:t xml:space="preserve">. </w:t>
      </w:r>
      <w:r>
        <w:rPr>
          <w:iCs/>
          <w:sz w:val="20"/>
          <w:szCs w:val="20"/>
          <w:lang w:val="en-GB"/>
        </w:rPr>
        <w:t>The e</w:t>
      </w:r>
      <w:r w:rsidRPr="001F66E2">
        <w:rPr>
          <w:iCs/>
          <w:sz w:val="20"/>
          <w:szCs w:val="20"/>
          <w:lang w:val="en-GB"/>
        </w:rPr>
        <w:t>ffect size for the path</w:t>
      </w:r>
      <w:r>
        <w:rPr>
          <w:iCs/>
          <w:sz w:val="20"/>
          <w:szCs w:val="20"/>
          <w:lang w:val="en-GB"/>
        </w:rPr>
        <w:t xml:space="preserve"> from social media</w:t>
      </w:r>
      <w:r w:rsidRPr="001F66E2">
        <w:rPr>
          <w:iCs/>
          <w:sz w:val="20"/>
          <w:szCs w:val="20"/>
          <w:lang w:val="en-GB"/>
        </w:rPr>
        <w:t xml:space="preserve"> brand community participation </w:t>
      </w:r>
      <w:r>
        <w:rPr>
          <w:iCs/>
          <w:sz w:val="20"/>
          <w:szCs w:val="20"/>
          <w:lang w:val="en-GB"/>
        </w:rPr>
        <w:t xml:space="preserve">to </w:t>
      </w:r>
      <w:r w:rsidRPr="001F66E2">
        <w:rPr>
          <w:iCs/>
          <w:sz w:val="20"/>
          <w:szCs w:val="20"/>
          <w:lang w:val="en-GB"/>
        </w:rPr>
        <w:t xml:space="preserve">social media </w:t>
      </w:r>
      <w:r>
        <w:rPr>
          <w:iCs/>
          <w:sz w:val="20"/>
          <w:szCs w:val="20"/>
          <w:lang w:val="en-GB"/>
        </w:rPr>
        <w:t xml:space="preserve">brand </w:t>
      </w:r>
      <w:r w:rsidRPr="001F66E2">
        <w:rPr>
          <w:iCs/>
          <w:sz w:val="20"/>
          <w:szCs w:val="20"/>
          <w:lang w:val="en-GB"/>
        </w:rPr>
        <w:t>trust (0.</w:t>
      </w:r>
      <w:r w:rsidR="00B600E6">
        <w:rPr>
          <w:iCs/>
          <w:sz w:val="20"/>
          <w:szCs w:val="20"/>
          <w:lang w:val="en-GB"/>
        </w:rPr>
        <w:t>393</w:t>
      </w:r>
      <w:r w:rsidRPr="001F66E2">
        <w:rPr>
          <w:iCs/>
          <w:sz w:val="20"/>
          <w:szCs w:val="20"/>
          <w:lang w:val="en-GB"/>
        </w:rPr>
        <w:t xml:space="preserve">) </w:t>
      </w:r>
      <w:r>
        <w:rPr>
          <w:iCs/>
          <w:sz w:val="20"/>
          <w:szCs w:val="20"/>
          <w:lang w:val="en-GB"/>
        </w:rPr>
        <w:t xml:space="preserve">was </w:t>
      </w:r>
      <w:r w:rsidRPr="001F66E2">
        <w:rPr>
          <w:iCs/>
          <w:sz w:val="20"/>
          <w:szCs w:val="20"/>
          <w:lang w:val="en-GB"/>
        </w:rPr>
        <w:t>large.</w:t>
      </w:r>
      <w:r w:rsidR="008A5166">
        <w:rPr>
          <w:iCs/>
          <w:sz w:val="20"/>
          <w:szCs w:val="20"/>
          <w:lang w:val="en-GB"/>
        </w:rPr>
        <w:t xml:space="preserve"> </w:t>
      </w:r>
    </w:p>
    <w:p w14:paraId="0B0E4003" w14:textId="3CBA7567" w:rsidR="00103693" w:rsidRDefault="00103693" w:rsidP="002B4435">
      <w:pPr>
        <w:pStyle w:val="NoSpacing"/>
        <w:rPr>
          <w:iCs/>
          <w:sz w:val="20"/>
          <w:szCs w:val="20"/>
          <w:lang w:val="en-GB"/>
        </w:rPr>
      </w:pPr>
    </w:p>
    <w:p w14:paraId="478D0813" w14:textId="3F7317A5" w:rsidR="00103693" w:rsidRPr="00A25872" w:rsidRDefault="00103693" w:rsidP="00103693">
      <w:pPr>
        <w:pStyle w:val="NoSpacing"/>
        <w:jc w:val="center"/>
        <w:rPr>
          <w:color w:val="000000"/>
          <w:sz w:val="20"/>
          <w:szCs w:val="20"/>
        </w:rPr>
      </w:pPr>
      <w:r w:rsidRPr="00A25872">
        <w:rPr>
          <w:color w:val="000000"/>
          <w:sz w:val="20"/>
          <w:szCs w:val="20"/>
        </w:rPr>
        <w:t xml:space="preserve">Table </w:t>
      </w:r>
      <w:r w:rsidR="001D6337">
        <w:rPr>
          <w:color w:val="000000"/>
          <w:sz w:val="20"/>
          <w:szCs w:val="20"/>
        </w:rPr>
        <w:t>5</w:t>
      </w:r>
      <w:r w:rsidRPr="00A25872">
        <w:rPr>
          <w:color w:val="000000"/>
          <w:sz w:val="20"/>
          <w:szCs w:val="20"/>
        </w:rPr>
        <w:t>: Effect Sizes of Latent Variables</w:t>
      </w:r>
    </w:p>
    <w:p w14:paraId="466154C3" w14:textId="77777777" w:rsidR="00A25872" w:rsidRPr="00103693" w:rsidRDefault="00A25872" w:rsidP="00103693">
      <w:pPr>
        <w:pStyle w:val="NoSpacing"/>
        <w:jc w:val="center"/>
        <w:rPr>
          <w:b/>
          <w:bCs/>
          <w:color w:val="000000"/>
          <w:sz w:val="20"/>
          <w:szCs w:val="20"/>
        </w:rPr>
      </w:pPr>
    </w:p>
    <w:tbl>
      <w:tblPr>
        <w:tblW w:w="5000" w:type="pct"/>
        <w:jc w:val="center"/>
        <w:tblLook w:val="04A0" w:firstRow="1" w:lastRow="0" w:firstColumn="1" w:lastColumn="0" w:noHBand="0" w:noVBand="1"/>
      </w:tblPr>
      <w:tblGrid>
        <w:gridCol w:w="5466"/>
        <w:gridCol w:w="2510"/>
        <w:gridCol w:w="2229"/>
      </w:tblGrid>
      <w:tr w:rsidR="00103693" w:rsidRPr="00066791" w14:paraId="14BE7AFE" w14:textId="77777777" w:rsidTr="00103693">
        <w:trPr>
          <w:trHeight w:val="630"/>
          <w:jc w:val="center"/>
        </w:trPr>
        <w:tc>
          <w:tcPr>
            <w:tcW w:w="2678" w:type="pct"/>
            <w:tcBorders>
              <w:top w:val="single" w:sz="4" w:space="0" w:color="auto"/>
              <w:left w:val="nil"/>
              <w:bottom w:val="single" w:sz="4" w:space="0" w:color="auto"/>
              <w:right w:val="nil"/>
            </w:tcBorders>
            <w:shd w:val="clear" w:color="auto" w:fill="auto"/>
            <w:vAlign w:val="center"/>
            <w:hideMark/>
          </w:tcPr>
          <w:p w14:paraId="087B8C95" w14:textId="77777777" w:rsidR="00103693" w:rsidRPr="00066791" w:rsidRDefault="00103693" w:rsidP="005E2B03">
            <w:pPr>
              <w:pStyle w:val="NoSpacing"/>
              <w:rPr>
                <w:color w:val="000000"/>
                <w:sz w:val="20"/>
                <w:szCs w:val="20"/>
              </w:rPr>
            </w:pPr>
            <w:r w:rsidRPr="00066791">
              <w:rPr>
                <w:color w:val="000000"/>
                <w:sz w:val="20"/>
                <w:szCs w:val="20"/>
              </w:rPr>
              <w:t>Latent Constructs</w:t>
            </w:r>
          </w:p>
        </w:tc>
        <w:tc>
          <w:tcPr>
            <w:tcW w:w="1230" w:type="pct"/>
            <w:tcBorders>
              <w:top w:val="single" w:sz="4" w:space="0" w:color="auto"/>
              <w:left w:val="nil"/>
              <w:bottom w:val="single" w:sz="4" w:space="0" w:color="auto"/>
              <w:right w:val="nil"/>
            </w:tcBorders>
            <w:shd w:val="clear" w:color="auto" w:fill="auto"/>
            <w:vAlign w:val="center"/>
            <w:hideMark/>
          </w:tcPr>
          <w:p w14:paraId="06CCF524" w14:textId="752D3860" w:rsidR="00103693" w:rsidRPr="00066791" w:rsidRDefault="009A49F8" w:rsidP="005E2B03">
            <w:pPr>
              <w:pStyle w:val="NoSpacing"/>
              <w:rPr>
                <w:color w:val="000000"/>
                <w:sz w:val="20"/>
                <w:szCs w:val="20"/>
              </w:rPr>
            </w:pPr>
            <w:r w:rsidRPr="009A49F8">
              <w:rPr>
                <w:iCs/>
                <w:color w:val="000000"/>
                <w:sz w:val="20"/>
                <w:szCs w:val="20"/>
                <w:lang w:val="en-GB"/>
              </w:rPr>
              <w:t>Social Media Brand Community Participation</w:t>
            </w:r>
          </w:p>
        </w:tc>
        <w:tc>
          <w:tcPr>
            <w:tcW w:w="1092" w:type="pct"/>
            <w:tcBorders>
              <w:top w:val="single" w:sz="4" w:space="0" w:color="auto"/>
              <w:left w:val="nil"/>
              <w:bottom w:val="single" w:sz="4" w:space="0" w:color="auto"/>
              <w:right w:val="nil"/>
            </w:tcBorders>
            <w:shd w:val="clear" w:color="auto" w:fill="auto"/>
            <w:vAlign w:val="center"/>
            <w:hideMark/>
          </w:tcPr>
          <w:p w14:paraId="7FE524B7" w14:textId="65165EA6" w:rsidR="00103693" w:rsidRPr="00066791" w:rsidRDefault="009A49F8" w:rsidP="005E2B03">
            <w:pPr>
              <w:pStyle w:val="NoSpacing"/>
              <w:rPr>
                <w:color w:val="000000"/>
                <w:sz w:val="20"/>
                <w:szCs w:val="20"/>
              </w:rPr>
            </w:pPr>
            <w:r w:rsidRPr="009A49F8">
              <w:rPr>
                <w:iCs/>
                <w:color w:val="000000"/>
                <w:sz w:val="20"/>
                <w:szCs w:val="20"/>
                <w:lang w:val="en-GB"/>
              </w:rPr>
              <w:t>Social Media Brand Trust</w:t>
            </w:r>
          </w:p>
        </w:tc>
      </w:tr>
      <w:tr w:rsidR="00103693" w:rsidRPr="00066791" w14:paraId="168E26CE" w14:textId="77777777" w:rsidTr="00103693">
        <w:trPr>
          <w:trHeight w:val="630"/>
          <w:jc w:val="center"/>
        </w:trPr>
        <w:tc>
          <w:tcPr>
            <w:tcW w:w="2678" w:type="pct"/>
            <w:tcBorders>
              <w:top w:val="nil"/>
              <w:left w:val="nil"/>
              <w:bottom w:val="nil"/>
              <w:right w:val="nil"/>
            </w:tcBorders>
            <w:shd w:val="clear" w:color="auto" w:fill="auto"/>
            <w:vAlign w:val="center"/>
            <w:hideMark/>
          </w:tcPr>
          <w:p w14:paraId="6A811526" w14:textId="44A9B7EE" w:rsidR="00103693" w:rsidRPr="00066791" w:rsidRDefault="009A49F8" w:rsidP="005E2B03">
            <w:pPr>
              <w:pStyle w:val="NoSpacing"/>
              <w:rPr>
                <w:color w:val="000000"/>
                <w:sz w:val="20"/>
                <w:szCs w:val="20"/>
              </w:rPr>
            </w:pPr>
            <w:r w:rsidRPr="009A49F8">
              <w:rPr>
                <w:iCs/>
                <w:color w:val="000000"/>
                <w:sz w:val="20"/>
                <w:szCs w:val="20"/>
                <w:lang w:val="en-GB"/>
              </w:rPr>
              <w:t>Consumer Incivility</w:t>
            </w:r>
          </w:p>
        </w:tc>
        <w:tc>
          <w:tcPr>
            <w:tcW w:w="1230" w:type="pct"/>
            <w:tcBorders>
              <w:top w:val="nil"/>
              <w:left w:val="nil"/>
              <w:bottom w:val="nil"/>
              <w:right w:val="nil"/>
            </w:tcBorders>
            <w:shd w:val="clear" w:color="auto" w:fill="auto"/>
            <w:vAlign w:val="center"/>
            <w:hideMark/>
          </w:tcPr>
          <w:p w14:paraId="75153974" w14:textId="77777777" w:rsidR="00103693" w:rsidRPr="00066791" w:rsidRDefault="00103693" w:rsidP="005E2B03">
            <w:pPr>
              <w:pStyle w:val="NoSpacing"/>
              <w:rPr>
                <w:color w:val="000000"/>
                <w:sz w:val="20"/>
                <w:szCs w:val="20"/>
              </w:rPr>
            </w:pPr>
            <w:r w:rsidRPr="00066791">
              <w:rPr>
                <w:color w:val="000000"/>
                <w:sz w:val="20"/>
                <w:szCs w:val="20"/>
              </w:rPr>
              <w:t>0.237</w:t>
            </w:r>
          </w:p>
        </w:tc>
        <w:tc>
          <w:tcPr>
            <w:tcW w:w="1092" w:type="pct"/>
            <w:tcBorders>
              <w:top w:val="nil"/>
              <w:left w:val="nil"/>
              <w:bottom w:val="nil"/>
              <w:right w:val="nil"/>
            </w:tcBorders>
            <w:shd w:val="clear" w:color="auto" w:fill="auto"/>
            <w:vAlign w:val="center"/>
            <w:hideMark/>
          </w:tcPr>
          <w:p w14:paraId="4A4A1180" w14:textId="77777777" w:rsidR="00103693" w:rsidRPr="00066791" w:rsidRDefault="00103693" w:rsidP="005E2B03">
            <w:pPr>
              <w:pStyle w:val="NoSpacing"/>
              <w:rPr>
                <w:color w:val="000000"/>
                <w:sz w:val="20"/>
                <w:szCs w:val="20"/>
              </w:rPr>
            </w:pPr>
            <w:r w:rsidRPr="00066791">
              <w:rPr>
                <w:color w:val="000000"/>
                <w:sz w:val="20"/>
                <w:szCs w:val="20"/>
              </w:rPr>
              <w:t xml:space="preserve">0.152         </w:t>
            </w:r>
          </w:p>
        </w:tc>
      </w:tr>
      <w:tr w:rsidR="00103693" w:rsidRPr="00066791" w14:paraId="3A60A64A" w14:textId="77777777" w:rsidTr="00103693">
        <w:trPr>
          <w:trHeight w:val="315"/>
          <w:jc w:val="center"/>
        </w:trPr>
        <w:tc>
          <w:tcPr>
            <w:tcW w:w="2678" w:type="pct"/>
            <w:tcBorders>
              <w:top w:val="nil"/>
              <w:left w:val="nil"/>
              <w:bottom w:val="nil"/>
              <w:right w:val="nil"/>
            </w:tcBorders>
            <w:shd w:val="clear" w:color="auto" w:fill="auto"/>
            <w:vAlign w:val="center"/>
            <w:hideMark/>
          </w:tcPr>
          <w:p w14:paraId="6673755D" w14:textId="461AEEF5" w:rsidR="00103693" w:rsidRPr="00066791" w:rsidRDefault="009A49F8" w:rsidP="005E2B03">
            <w:pPr>
              <w:pStyle w:val="NoSpacing"/>
              <w:rPr>
                <w:color w:val="000000"/>
                <w:sz w:val="20"/>
                <w:szCs w:val="20"/>
              </w:rPr>
            </w:pPr>
            <w:r w:rsidRPr="009A49F8">
              <w:rPr>
                <w:iCs/>
                <w:color w:val="000000"/>
                <w:sz w:val="20"/>
                <w:szCs w:val="20"/>
                <w:lang w:val="en-GB"/>
              </w:rPr>
              <w:t xml:space="preserve">Social Media Brand </w:t>
            </w:r>
            <w:r w:rsidRPr="009A49F8">
              <w:rPr>
                <w:color w:val="000000"/>
                <w:sz w:val="20"/>
                <w:szCs w:val="20"/>
                <w:lang w:val="en-GB"/>
              </w:rPr>
              <w:t xml:space="preserve">Representatives’ </w:t>
            </w:r>
            <w:r w:rsidRPr="009A49F8">
              <w:rPr>
                <w:iCs/>
                <w:color w:val="000000"/>
                <w:sz w:val="20"/>
                <w:szCs w:val="20"/>
                <w:lang w:val="en-GB"/>
              </w:rPr>
              <w:t>Efforts</w:t>
            </w:r>
          </w:p>
        </w:tc>
        <w:tc>
          <w:tcPr>
            <w:tcW w:w="1230" w:type="pct"/>
            <w:tcBorders>
              <w:top w:val="nil"/>
              <w:left w:val="nil"/>
              <w:bottom w:val="nil"/>
              <w:right w:val="nil"/>
            </w:tcBorders>
            <w:shd w:val="clear" w:color="auto" w:fill="auto"/>
            <w:vAlign w:val="center"/>
            <w:hideMark/>
          </w:tcPr>
          <w:p w14:paraId="766A6A64" w14:textId="77777777" w:rsidR="00103693" w:rsidRPr="00066791" w:rsidRDefault="00103693" w:rsidP="005E2B03">
            <w:pPr>
              <w:pStyle w:val="NoSpacing"/>
              <w:rPr>
                <w:color w:val="000000"/>
                <w:sz w:val="20"/>
                <w:szCs w:val="20"/>
              </w:rPr>
            </w:pPr>
            <w:r w:rsidRPr="00066791">
              <w:rPr>
                <w:color w:val="000000"/>
                <w:sz w:val="20"/>
                <w:szCs w:val="20"/>
              </w:rPr>
              <w:t>0.048</w:t>
            </w:r>
          </w:p>
        </w:tc>
        <w:tc>
          <w:tcPr>
            <w:tcW w:w="1092" w:type="pct"/>
            <w:tcBorders>
              <w:top w:val="nil"/>
              <w:left w:val="nil"/>
              <w:bottom w:val="nil"/>
              <w:right w:val="nil"/>
            </w:tcBorders>
            <w:shd w:val="clear" w:color="auto" w:fill="auto"/>
            <w:vAlign w:val="center"/>
            <w:hideMark/>
          </w:tcPr>
          <w:p w14:paraId="6B8076F6" w14:textId="77777777" w:rsidR="00103693" w:rsidRPr="00066791" w:rsidRDefault="00103693" w:rsidP="005E2B03">
            <w:pPr>
              <w:pStyle w:val="NoSpacing"/>
              <w:rPr>
                <w:color w:val="000000"/>
                <w:sz w:val="20"/>
                <w:szCs w:val="20"/>
              </w:rPr>
            </w:pPr>
            <w:r w:rsidRPr="00066791">
              <w:rPr>
                <w:color w:val="000000"/>
                <w:sz w:val="20"/>
                <w:szCs w:val="20"/>
              </w:rPr>
              <w:t xml:space="preserve">           </w:t>
            </w:r>
          </w:p>
        </w:tc>
      </w:tr>
      <w:tr w:rsidR="00103693" w:rsidRPr="00066791" w14:paraId="48E2924D" w14:textId="77777777" w:rsidTr="00103693">
        <w:trPr>
          <w:trHeight w:val="315"/>
          <w:jc w:val="center"/>
        </w:trPr>
        <w:tc>
          <w:tcPr>
            <w:tcW w:w="2678" w:type="pct"/>
            <w:tcBorders>
              <w:top w:val="nil"/>
              <w:left w:val="nil"/>
              <w:bottom w:val="single" w:sz="4" w:space="0" w:color="auto"/>
              <w:right w:val="nil"/>
            </w:tcBorders>
            <w:shd w:val="clear" w:color="auto" w:fill="auto"/>
            <w:vAlign w:val="center"/>
            <w:hideMark/>
          </w:tcPr>
          <w:p w14:paraId="28D84684" w14:textId="7513B1B5" w:rsidR="00103693" w:rsidRPr="00066791" w:rsidRDefault="009A49F8" w:rsidP="005E2B03">
            <w:pPr>
              <w:pStyle w:val="NoSpacing"/>
              <w:rPr>
                <w:color w:val="000000"/>
                <w:sz w:val="20"/>
                <w:szCs w:val="20"/>
              </w:rPr>
            </w:pPr>
            <w:r w:rsidRPr="009A49F8">
              <w:rPr>
                <w:iCs/>
                <w:color w:val="000000"/>
                <w:sz w:val="20"/>
                <w:szCs w:val="20"/>
                <w:lang w:val="en-GB"/>
              </w:rPr>
              <w:t>Social Media Brand Community Participation</w:t>
            </w:r>
            <w:r w:rsidR="006C03BF">
              <w:rPr>
                <w:iCs/>
                <w:color w:val="000000"/>
                <w:sz w:val="20"/>
                <w:szCs w:val="20"/>
                <w:lang w:val="en-GB"/>
              </w:rPr>
              <w:t xml:space="preserve"> </w:t>
            </w:r>
          </w:p>
        </w:tc>
        <w:tc>
          <w:tcPr>
            <w:tcW w:w="1230" w:type="pct"/>
            <w:tcBorders>
              <w:top w:val="nil"/>
              <w:left w:val="nil"/>
              <w:bottom w:val="single" w:sz="4" w:space="0" w:color="auto"/>
              <w:right w:val="nil"/>
            </w:tcBorders>
            <w:shd w:val="clear" w:color="auto" w:fill="auto"/>
            <w:vAlign w:val="center"/>
            <w:hideMark/>
          </w:tcPr>
          <w:p w14:paraId="0C16036F" w14:textId="77777777" w:rsidR="00103693" w:rsidRPr="00066791" w:rsidRDefault="00103693" w:rsidP="005E2B03">
            <w:pPr>
              <w:pStyle w:val="NoSpacing"/>
              <w:rPr>
                <w:color w:val="000000"/>
                <w:sz w:val="20"/>
                <w:szCs w:val="20"/>
              </w:rPr>
            </w:pPr>
            <w:r w:rsidRPr="00066791">
              <w:rPr>
                <w:color w:val="000000"/>
                <w:sz w:val="20"/>
                <w:szCs w:val="20"/>
              </w:rPr>
              <w:t> </w:t>
            </w:r>
          </w:p>
        </w:tc>
        <w:tc>
          <w:tcPr>
            <w:tcW w:w="1092" w:type="pct"/>
            <w:tcBorders>
              <w:top w:val="nil"/>
              <w:left w:val="nil"/>
              <w:bottom w:val="single" w:sz="4" w:space="0" w:color="auto"/>
              <w:right w:val="nil"/>
            </w:tcBorders>
            <w:shd w:val="clear" w:color="auto" w:fill="auto"/>
            <w:vAlign w:val="center"/>
            <w:hideMark/>
          </w:tcPr>
          <w:p w14:paraId="438E65C2" w14:textId="77777777" w:rsidR="00103693" w:rsidRPr="00066791" w:rsidRDefault="00103693" w:rsidP="005E2B03">
            <w:pPr>
              <w:pStyle w:val="NoSpacing"/>
              <w:rPr>
                <w:color w:val="000000"/>
                <w:sz w:val="20"/>
                <w:szCs w:val="20"/>
              </w:rPr>
            </w:pPr>
            <w:r w:rsidRPr="00066791">
              <w:rPr>
                <w:color w:val="000000"/>
                <w:sz w:val="20"/>
                <w:szCs w:val="20"/>
              </w:rPr>
              <w:t>0.393</w:t>
            </w:r>
          </w:p>
        </w:tc>
      </w:tr>
    </w:tbl>
    <w:p w14:paraId="5836C0BD" w14:textId="77777777" w:rsidR="00103693" w:rsidRDefault="00103693" w:rsidP="002B4435">
      <w:pPr>
        <w:pStyle w:val="NoSpacing"/>
        <w:rPr>
          <w:iCs/>
          <w:sz w:val="20"/>
          <w:szCs w:val="20"/>
          <w:lang w:val="en-GB"/>
        </w:rPr>
      </w:pPr>
    </w:p>
    <w:p w14:paraId="7AA92F90" w14:textId="77777777" w:rsidR="002B4435" w:rsidRDefault="002B4435" w:rsidP="002B4435">
      <w:pPr>
        <w:pStyle w:val="NoSpacing"/>
        <w:jc w:val="center"/>
        <w:rPr>
          <w:iCs/>
          <w:sz w:val="20"/>
          <w:szCs w:val="20"/>
          <w:lang w:val="en-GB"/>
        </w:rPr>
      </w:pPr>
    </w:p>
    <w:p w14:paraId="4E153286" w14:textId="56F4713E" w:rsidR="00B255D6" w:rsidRPr="0047532A" w:rsidRDefault="00B255D6" w:rsidP="002B4435">
      <w:pPr>
        <w:pStyle w:val="NoSpacing"/>
        <w:jc w:val="center"/>
        <w:rPr>
          <w:b/>
          <w:bCs/>
          <w:sz w:val="20"/>
          <w:szCs w:val="20"/>
        </w:rPr>
      </w:pPr>
      <w:r w:rsidRPr="0047532A">
        <w:rPr>
          <w:b/>
          <w:bCs/>
          <w:sz w:val="20"/>
          <w:szCs w:val="20"/>
        </w:rPr>
        <w:t>DISCUSSION AND FUTURE DIRECTIONS</w:t>
      </w:r>
    </w:p>
    <w:p w14:paraId="4F760B3E"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Pr>
          <w:sz w:val="20"/>
          <w:szCs w:val="20"/>
          <w:lang w:val="en-GB"/>
        </w:rPr>
        <w:t>Due to the</w:t>
      </w:r>
      <w:r w:rsidRPr="001F66E2">
        <w:rPr>
          <w:sz w:val="20"/>
          <w:szCs w:val="20"/>
          <w:lang w:val="en-GB"/>
        </w:rPr>
        <w:t xml:space="preserve"> growth of </w:t>
      </w:r>
      <w:r>
        <w:rPr>
          <w:sz w:val="20"/>
          <w:szCs w:val="20"/>
          <w:lang w:val="en-GB"/>
        </w:rPr>
        <w:t>consumer incivility cases on social media</w:t>
      </w:r>
      <w:r w:rsidRPr="001F66E2">
        <w:rPr>
          <w:sz w:val="20"/>
          <w:szCs w:val="20"/>
          <w:lang w:val="en-GB"/>
        </w:rPr>
        <w:t xml:space="preserve"> </w:t>
      </w:r>
      <w:r>
        <w:rPr>
          <w:sz w:val="20"/>
          <w:szCs w:val="20"/>
          <w:lang w:val="en-GB"/>
        </w:rPr>
        <w:t>platforms</w:t>
      </w:r>
      <w:r w:rsidRPr="001F66E2">
        <w:rPr>
          <w:sz w:val="20"/>
          <w:szCs w:val="20"/>
          <w:lang w:val="en-GB"/>
        </w:rPr>
        <w:t>, the present study was motivated to contribute to</w:t>
      </w:r>
      <w:r>
        <w:rPr>
          <w:sz w:val="20"/>
          <w:szCs w:val="20"/>
          <w:lang w:val="en-GB"/>
        </w:rPr>
        <w:t xml:space="preserve"> the</w:t>
      </w:r>
      <w:r w:rsidRPr="001F66E2">
        <w:rPr>
          <w:sz w:val="20"/>
          <w:szCs w:val="20"/>
          <w:lang w:val="en-GB"/>
        </w:rPr>
        <w:t xml:space="preserve"> </w:t>
      </w:r>
      <w:r>
        <w:rPr>
          <w:sz w:val="20"/>
          <w:szCs w:val="20"/>
          <w:lang w:val="en-GB"/>
        </w:rPr>
        <w:t xml:space="preserve">literature on the </w:t>
      </w:r>
      <w:r w:rsidRPr="001F66E2">
        <w:rPr>
          <w:sz w:val="20"/>
          <w:szCs w:val="20"/>
          <w:lang w:val="en-GB"/>
        </w:rPr>
        <w:t>science of consumer incivility in the digital/</w:t>
      </w:r>
      <w:r>
        <w:rPr>
          <w:sz w:val="20"/>
          <w:szCs w:val="20"/>
          <w:lang w:val="en-GB"/>
        </w:rPr>
        <w:t>social media</w:t>
      </w:r>
      <w:r w:rsidRPr="001F66E2">
        <w:rPr>
          <w:sz w:val="20"/>
          <w:szCs w:val="20"/>
          <w:lang w:val="en-GB"/>
        </w:rPr>
        <w:t xml:space="preserve"> context.</w:t>
      </w:r>
    </w:p>
    <w:p w14:paraId="7E9A192B"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sidRPr="001F66E2">
        <w:rPr>
          <w:b/>
          <w:bCs/>
          <w:sz w:val="20"/>
          <w:szCs w:val="20"/>
          <w:lang w:val="en-GB"/>
        </w:rPr>
        <w:t> </w:t>
      </w:r>
    </w:p>
    <w:p w14:paraId="78C48A0B"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sidRPr="001F66E2">
        <w:rPr>
          <w:b/>
          <w:bCs/>
          <w:sz w:val="20"/>
          <w:szCs w:val="20"/>
          <w:lang w:val="en-GB"/>
        </w:rPr>
        <w:t>Theoretical Implications</w:t>
      </w:r>
    </w:p>
    <w:p w14:paraId="26F0B8EA"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sidRPr="001F66E2">
        <w:rPr>
          <w:sz w:val="20"/>
          <w:szCs w:val="20"/>
          <w:lang w:val="en-GB"/>
        </w:rPr>
        <w:t xml:space="preserve">The </w:t>
      </w:r>
      <w:r>
        <w:rPr>
          <w:sz w:val="20"/>
          <w:szCs w:val="20"/>
          <w:lang w:val="en-GB"/>
        </w:rPr>
        <w:t xml:space="preserve">present study examined an </w:t>
      </w:r>
      <w:r w:rsidRPr="001F66E2">
        <w:rPr>
          <w:sz w:val="20"/>
          <w:szCs w:val="20"/>
          <w:lang w:val="en-GB"/>
        </w:rPr>
        <w:t xml:space="preserve">unexplored research </w:t>
      </w:r>
      <w:r>
        <w:rPr>
          <w:sz w:val="20"/>
          <w:szCs w:val="20"/>
          <w:lang w:val="en-GB"/>
        </w:rPr>
        <w:t xml:space="preserve">topic </w:t>
      </w:r>
      <w:r w:rsidRPr="001F66E2">
        <w:rPr>
          <w:sz w:val="20"/>
          <w:szCs w:val="20"/>
          <w:lang w:val="en-GB"/>
        </w:rPr>
        <w:t xml:space="preserve">concerning consumer incivility in the </w:t>
      </w:r>
      <w:r>
        <w:rPr>
          <w:sz w:val="20"/>
          <w:szCs w:val="20"/>
          <w:lang w:val="en-GB"/>
        </w:rPr>
        <w:t>social media</w:t>
      </w:r>
      <w:r w:rsidRPr="001F66E2">
        <w:rPr>
          <w:sz w:val="20"/>
          <w:szCs w:val="20"/>
          <w:lang w:val="en-GB"/>
        </w:rPr>
        <w:t xml:space="preserve"> context. To contribute to the body of literature, the results of </w:t>
      </w:r>
      <w:r>
        <w:rPr>
          <w:sz w:val="20"/>
          <w:szCs w:val="20"/>
          <w:lang w:val="en-GB"/>
        </w:rPr>
        <w:t xml:space="preserve">the </w:t>
      </w:r>
      <w:r w:rsidRPr="001F66E2">
        <w:rPr>
          <w:sz w:val="20"/>
          <w:szCs w:val="20"/>
          <w:lang w:val="en-GB"/>
        </w:rPr>
        <w:t xml:space="preserve">research hypotheses driven from conceptual models </w:t>
      </w:r>
      <w:r>
        <w:rPr>
          <w:sz w:val="20"/>
          <w:szCs w:val="20"/>
          <w:lang w:val="en-GB"/>
        </w:rPr>
        <w:t>(</w:t>
      </w:r>
      <w:r w:rsidRPr="001F66E2">
        <w:rPr>
          <w:sz w:val="20"/>
          <w:szCs w:val="20"/>
          <w:lang w:val="en-GB"/>
        </w:rPr>
        <w:t>H1, H2, H3, H4 and H5</w:t>
      </w:r>
      <w:r>
        <w:rPr>
          <w:sz w:val="20"/>
          <w:szCs w:val="20"/>
          <w:lang w:val="en-GB"/>
        </w:rPr>
        <w:t xml:space="preserve">) are </w:t>
      </w:r>
      <w:r w:rsidRPr="001F66E2">
        <w:rPr>
          <w:sz w:val="20"/>
          <w:szCs w:val="20"/>
          <w:lang w:val="en-GB"/>
        </w:rPr>
        <w:t>presented</w:t>
      </w:r>
      <w:r>
        <w:rPr>
          <w:sz w:val="20"/>
          <w:szCs w:val="20"/>
          <w:lang w:val="en-GB"/>
        </w:rPr>
        <w:t xml:space="preserve"> herein</w:t>
      </w:r>
      <w:r w:rsidRPr="001F66E2">
        <w:rPr>
          <w:sz w:val="20"/>
          <w:szCs w:val="20"/>
          <w:lang w:val="en-GB"/>
        </w:rPr>
        <w:t>.</w:t>
      </w:r>
    </w:p>
    <w:p w14:paraId="7BF2B8A7"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sidRPr="001F66E2">
        <w:rPr>
          <w:sz w:val="20"/>
          <w:szCs w:val="20"/>
          <w:lang w:val="en-GB"/>
        </w:rPr>
        <w:t> </w:t>
      </w:r>
    </w:p>
    <w:p w14:paraId="29A2E218"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Pr>
          <w:sz w:val="20"/>
          <w:szCs w:val="20"/>
          <w:lang w:val="en-GB"/>
        </w:rPr>
        <w:lastRenderedPageBreak/>
        <w:t>Firstly,</w:t>
      </w:r>
      <w:r w:rsidRPr="001F66E2">
        <w:rPr>
          <w:sz w:val="20"/>
          <w:szCs w:val="20"/>
          <w:lang w:val="en-GB"/>
        </w:rPr>
        <w:t xml:space="preserve"> the </w:t>
      </w:r>
      <w:r>
        <w:rPr>
          <w:sz w:val="20"/>
          <w:szCs w:val="20"/>
          <w:lang w:val="en-GB"/>
        </w:rPr>
        <w:t xml:space="preserve">study </w:t>
      </w:r>
      <w:r w:rsidRPr="001F66E2">
        <w:rPr>
          <w:sz w:val="20"/>
          <w:szCs w:val="20"/>
          <w:lang w:val="en-GB"/>
        </w:rPr>
        <w:t xml:space="preserve">findings </w:t>
      </w:r>
      <w:r>
        <w:rPr>
          <w:sz w:val="20"/>
          <w:szCs w:val="20"/>
          <w:lang w:val="en-GB"/>
        </w:rPr>
        <w:t xml:space="preserve">support </w:t>
      </w:r>
      <w:r w:rsidRPr="001F66E2">
        <w:rPr>
          <w:sz w:val="20"/>
          <w:szCs w:val="20"/>
          <w:lang w:val="en-GB"/>
        </w:rPr>
        <w:t>H1</w:t>
      </w:r>
      <w:r>
        <w:rPr>
          <w:sz w:val="20"/>
          <w:szCs w:val="20"/>
          <w:lang w:val="en-GB"/>
        </w:rPr>
        <w:t>,</w:t>
      </w:r>
      <w:r w:rsidRPr="001F66E2">
        <w:rPr>
          <w:sz w:val="20"/>
          <w:szCs w:val="20"/>
          <w:lang w:val="en-GB"/>
        </w:rPr>
        <w:t xml:space="preserve"> </w:t>
      </w:r>
      <w:r>
        <w:rPr>
          <w:sz w:val="20"/>
          <w:szCs w:val="20"/>
          <w:lang w:val="en-GB"/>
        </w:rPr>
        <w:t xml:space="preserve">suggesting </w:t>
      </w:r>
      <w:r w:rsidRPr="001F66E2">
        <w:rPr>
          <w:sz w:val="20"/>
          <w:szCs w:val="20"/>
          <w:lang w:val="en-GB"/>
        </w:rPr>
        <w:t>that</w:t>
      </w:r>
      <w:r>
        <w:rPr>
          <w:sz w:val="20"/>
          <w:szCs w:val="20"/>
          <w:lang w:val="en-GB"/>
        </w:rPr>
        <w:t xml:space="preserve"> the</w:t>
      </w:r>
      <w:r w:rsidRPr="001F66E2">
        <w:rPr>
          <w:sz w:val="20"/>
          <w:szCs w:val="20"/>
          <w:lang w:val="en-GB"/>
        </w:rPr>
        <w:t xml:space="preserve"> higher </w:t>
      </w:r>
      <w:r>
        <w:rPr>
          <w:sz w:val="20"/>
          <w:szCs w:val="20"/>
          <w:lang w:val="en-GB"/>
        </w:rPr>
        <w:t xml:space="preserve">the </w:t>
      </w:r>
      <w:r w:rsidRPr="001F66E2">
        <w:rPr>
          <w:sz w:val="20"/>
          <w:szCs w:val="20"/>
          <w:lang w:val="en-GB"/>
        </w:rPr>
        <w:t>level of consumer incivility</w:t>
      </w:r>
      <w:r>
        <w:rPr>
          <w:sz w:val="20"/>
          <w:szCs w:val="20"/>
          <w:lang w:val="en-GB"/>
        </w:rPr>
        <w:t>,</w:t>
      </w:r>
      <w:r w:rsidRPr="001F66E2">
        <w:rPr>
          <w:sz w:val="20"/>
          <w:szCs w:val="20"/>
          <w:lang w:val="en-GB"/>
        </w:rPr>
        <w:t xml:space="preserve"> the lower </w:t>
      </w:r>
      <w:r>
        <w:rPr>
          <w:sz w:val="20"/>
          <w:szCs w:val="20"/>
          <w:lang w:val="en-GB"/>
        </w:rPr>
        <w:t xml:space="preserve">the </w:t>
      </w:r>
      <w:r w:rsidRPr="001F66E2">
        <w:rPr>
          <w:sz w:val="20"/>
          <w:szCs w:val="20"/>
          <w:lang w:val="en-GB"/>
        </w:rPr>
        <w:t xml:space="preserve">level of </w:t>
      </w:r>
      <w:r>
        <w:rPr>
          <w:sz w:val="20"/>
          <w:szCs w:val="20"/>
          <w:lang w:val="en-GB"/>
        </w:rPr>
        <w:t>social media</w:t>
      </w:r>
      <w:r w:rsidRPr="001F66E2">
        <w:rPr>
          <w:sz w:val="20"/>
          <w:szCs w:val="20"/>
          <w:lang w:val="en-GB"/>
        </w:rPr>
        <w:t xml:space="preserve"> brand community participation. </w:t>
      </w:r>
      <w:r>
        <w:rPr>
          <w:sz w:val="20"/>
          <w:szCs w:val="20"/>
          <w:lang w:val="en-GB"/>
        </w:rPr>
        <w:t>T</w:t>
      </w:r>
      <w:r w:rsidRPr="001F66E2">
        <w:rPr>
          <w:sz w:val="20"/>
          <w:szCs w:val="20"/>
          <w:lang w:val="en-GB"/>
        </w:rPr>
        <w:t xml:space="preserve">o the best of our knowledge, </w:t>
      </w:r>
      <w:r>
        <w:rPr>
          <w:sz w:val="20"/>
          <w:szCs w:val="20"/>
          <w:lang w:val="en-GB"/>
        </w:rPr>
        <w:t xml:space="preserve">the </w:t>
      </w:r>
      <w:r w:rsidRPr="001F66E2">
        <w:rPr>
          <w:sz w:val="20"/>
          <w:szCs w:val="20"/>
          <w:lang w:val="en-GB"/>
        </w:rPr>
        <w:t xml:space="preserve">present study </w:t>
      </w:r>
      <w:r>
        <w:rPr>
          <w:sz w:val="20"/>
          <w:szCs w:val="20"/>
          <w:lang w:val="en-GB"/>
        </w:rPr>
        <w:t xml:space="preserve">was </w:t>
      </w:r>
      <w:r w:rsidRPr="001F66E2">
        <w:rPr>
          <w:sz w:val="20"/>
          <w:szCs w:val="20"/>
          <w:lang w:val="en-GB"/>
        </w:rPr>
        <w:t xml:space="preserve">the first to explore the impact of consumer incivility on </w:t>
      </w:r>
      <w:r>
        <w:rPr>
          <w:sz w:val="20"/>
          <w:szCs w:val="20"/>
          <w:lang w:val="en-GB"/>
        </w:rPr>
        <w:t>social media</w:t>
      </w:r>
      <w:r w:rsidRPr="001F66E2">
        <w:rPr>
          <w:sz w:val="20"/>
          <w:szCs w:val="20"/>
          <w:lang w:val="en-GB"/>
        </w:rPr>
        <w:t xml:space="preserve"> brand community participation. Previous researchers have examined constructs/variables </w:t>
      </w:r>
      <w:r>
        <w:rPr>
          <w:sz w:val="20"/>
          <w:szCs w:val="20"/>
          <w:lang w:val="en-GB"/>
        </w:rPr>
        <w:t xml:space="preserve">that are possible </w:t>
      </w:r>
      <w:r w:rsidRPr="001F66E2">
        <w:rPr>
          <w:sz w:val="20"/>
          <w:szCs w:val="20"/>
          <w:lang w:val="en-GB"/>
        </w:rPr>
        <w:t xml:space="preserve">antecedents of consumer participation </w:t>
      </w:r>
      <w:r>
        <w:rPr>
          <w:sz w:val="20"/>
          <w:szCs w:val="20"/>
          <w:lang w:val="en-GB"/>
        </w:rPr>
        <w:t xml:space="preserve">or </w:t>
      </w:r>
      <w:r w:rsidRPr="001F66E2">
        <w:rPr>
          <w:sz w:val="20"/>
          <w:szCs w:val="20"/>
          <w:lang w:val="en-GB"/>
        </w:rPr>
        <w:t>engagement i</w:t>
      </w:r>
      <w:r>
        <w:rPr>
          <w:sz w:val="20"/>
          <w:szCs w:val="20"/>
          <w:lang w:val="en-GB"/>
        </w:rPr>
        <w:t>n a</w:t>
      </w:r>
      <w:r w:rsidRPr="001F66E2">
        <w:rPr>
          <w:sz w:val="20"/>
          <w:szCs w:val="20"/>
          <w:lang w:val="en-GB"/>
        </w:rPr>
        <w:t>n online context (</w:t>
      </w:r>
      <w:proofErr w:type="spellStart"/>
      <w:r w:rsidRPr="001F66E2">
        <w:rPr>
          <w:sz w:val="20"/>
          <w:szCs w:val="20"/>
          <w:lang w:val="en-GB"/>
        </w:rPr>
        <w:t>Algharabat</w:t>
      </w:r>
      <w:proofErr w:type="spellEnd"/>
      <w:r w:rsidRPr="001F66E2">
        <w:rPr>
          <w:sz w:val="20"/>
          <w:szCs w:val="20"/>
          <w:lang w:val="en-GB"/>
        </w:rPr>
        <w:t xml:space="preserve"> </w:t>
      </w:r>
      <w:r w:rsidRPr="001F66E2">
        <w:rPr>
          <w:i/>
          <w:iCs/>
          <w:sz w:val="20"/>
          <w:szCs w:val="20"/>
          <w:lang w:val="en-GB"/>
        </w:rPr>
        <w:t>et al</w:t>
      </w:r>
      <w:r w:rsidRPr="001F66E2">
        <w:rPr>
          <w:sz w:val="20"/>
          <w:szCs w:val="20"/>
          <w:lang w:val="en-GB"/>
        </w:rPr>
        <w:t xml:space="preserve">., 2020). </w:t>
      </w:r>
      <w:r>
        <w:rPr>
          <w:sz w:val="20"/>
          <w:szCs w:val="20"/>
          <w:lang w:val="en-GB"/>
        </w:rPr>
        <w:t xml:space="preserve">The findings of the present study show </w:t>
      </w:r>
      <w:r w:rsidRPr="001F66E2">
        <w:rPr>
          <w:sz w:val="20"/>
          <w:szCs w:val="20"/>
          <w:lang w:val="en-GB"/>
        </w:rPr>
        <w:t xml:space="preserve">that in the </w:t>
      </w:r>
      <w:r>
        <w:rPr>
          <w:sz w:val="20"/>
          <w:szCs w:val="20"/>
          <w:lang w:val="en-GB"/>
        </w:rPr>
        <w:t>social media</w:t>
      </w:r>
      <w:r w:rsidRPr="001F66E2">
        <w:rPr>
          <w:sz w:val="20"/>
          <w:szCs w:val="20"/>
          <w:lang w:val="en-GB"/>
        </w:rPr>
        <w:t xml:space="preserve"> context, uncivil consumer behaviour </w:t>
      </w:r>
      <w:r>
        <w:rPr>
          <w:sz w:val="20"/>
          <w:szCs w:val="20"/>
          <w:lang w:val="en-GB"/>
        </w:rPr>
        <w:t xml:space="preserve">has inverse impacts </w:t>
      </w:r>
      <w:r w:rsidRPr="001F66E2">
        <w:rPr>
          <w:sz w:val="20"/>
          <w:szCs w:val="20"/>
          <w:lang w:val="en-GB"/>
        </w:rPr>
        <w:t xml:space="preserve">on social media community participation, </w:t>
      </w:r>
      <w:r>
        <w:rPr>
          <w:sz w:val="20"/>
          <w:szCs w:val="20"/>
          <w:lang w:val="en-GB"/>
        </w:rPr>
        <w:t>social media</w:t>
      </w:r>
      <w:r w:rsidRPr="001F66E2">
        <w:rPr>
          <w:sz w:val="20"/>
          <w:szCs w:val="20"/>
          <w:lang w:val="en-GB"/>
        </w:rPr>
        <w:t xml:space="preserve"> brand </w:t>
      </w:r>
      <w:r w:rsidRPr="001F66E2">
        <w:rPr>
          <w:rFonts w:eastAsia="Times New Roman"/>
          <w:sz w:val="20"/>
          <w:szCs w:val="20"/>
          <w:lang w:val="en-GB" w:eastAsia="en-US"/>
        </w:rPr>
        <w:t>representatives</w:t>
      </w:r>
      <w:r>
        <w:rPr>
          <w:rFonts w:eastAsia="Times New Roman"/>
          <w:sz w:val="20"/>
          <w:szCs w:val="20"/>
          <w:lang w:val="en-GB" w:eastAsia="en-US"/>
        </w:rPr>
        <w:t>’</w:t>
      </w:r>
      <w:r w:rsidRPr="001F66E2">
        <w:rPr>
          <w:rFonts w:eastAsia="Times New Roman"/>
          <w:sz w:val="20"/>
          <w:szCs w:val="20"/>
          <w:lang w:val="en-GB" w:eastAsia="en-US"/>
        </w:rPr>
        <w:t xml:space="preserve"> </w:t>
      </w:r>
      <w:r w:rsidRPr="001F66E2">
        <w:rPr>
          <w:sz w:val="20"/>
          <w:szCs w:val="20"/>
          <w:lang w:val="en-GB"/>
        </w:rPr>
        <w:t xml:space="preserve">efforts </w:t>
      </w:r>
      <w:r>
        <w:rPr>
          <w:iCs/>
          <w:sz w:val="20"/>
          <w:szCs w:val="20"/>
          <w:lang w:val="en-GB"/>
        </w:rPr>
        <w:t xml:space="preserve">to deal with consumer incivility </w:t>
      </w:r>
      <w:r w:rsidRPr="001F66E2">
        <w:rPr>
          <w:sz w:val="20"/>
          <w:szCs w:val="20"/>
          <w:lang w:val="en-GB"/>
        </w:rPr>
        <w:t xml:space="preserve">(H2) and social media </w:t>
      </w:r>
      <w:r>
        <w:rPr>
          <w:sz w:val="20"/>
          <w:szCs w:val="20"/>
          <w:lang w:val="en-GB"/>
        </w:rPr>
        <w:t xml:space="preserve">brand </w:t>
      </w:r>
      <w:r w:rsidRPr="001F66E2">
        <w:rPr>
          <w:sz w:val="20"/>
          <w:szCs w:val="20"/>
          <w:lang w:val="en-GB"/>
        </w:rPr>
        <w:t>trust (H3).</w:t>
      </w:r>
      <w:r>
        <w:rPr>
          <w:sz w:val="20"/>
          <w:szCs w:val="20"/>
          <w:lang w:val="en-GB"/>
        </w:rPr>
        <w:t xml:space="preserve"> Thus, H1, H2 and H3 are supported.</w:t>
      </w:r>
    </w:p>
    <w:p w14:paraId="68C87D45"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p>
    <w:p w14:paraId="6E7AB600"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sidRPr="001F66E2">
        <w:rPr>
          <w:sz w:val="20"/>
          <w:szCs w:val="20"/>
          <w:lang w:val="en-GB"/>
        </w:rPr>
        <w:t>Second</w:t>
      </w:r>
      <w:r>
        <w:rPr>
          <w:sz w:val="20"/>
          <w:szCs w:val="20"/>
          <w:lang w:val="en-GB"/>
        </w:rPr>
        <w:t>ly</w:t>
      </w:r>
      <w:r w:rsidRPr="001F66E2">
        <w:rPr>
          <w:sz w:val="20"/>
          <w:szCs w:val="20"/>
          <w:lang w:val="en-GB"/>
        </w:rPr>
        <w:t xml:space="preserve">, </w:t>
      </w:r>
      <w:r>
        <w:rPr>
          <w:sz w:val="20"/>
          <w:szCs w:val="20"/>
          <w:lang w:val="en-GB"/>
        </w:rPr>
        <w:t xml:space="preserve">the study findings show that </w:t>
      </w:r>
      <w:r w:rsidRPr="001F66E2">
        <w:rPr>
          <w:sz w:val="20"/>
          <w:szCs w:val="20"/>
          <w:lang w:val="en-GB"/>
        </w:rPr>
        <w:t xml:space="preserve">social media </w:t>
      </w:r>
      <w:r>
        <w:rPr>
          <w:sz w:val="20"/>
          <w:szCs w:val="20"/>
          <w:lang w:val="en-GB"/>
        </w:rPr>
        <w:t xml:space="preserve">personnel’s efforts to deal with consumer incivility </w:t>
      </w:r>
      <w:r w:rsidRPr="001F66E2">
        <w:rPr>
          <w:sz w:val="20"/>
          <w:szCs w:val="20"/>
          <w:lang w:val="en-GB"/>
        </w:rPr>
        <w:t>influence social media community participation (H4)</w:t>
      </w:r>
      <w:r>
        <w:rPr>
          <w:sz w:val="20"/>
          <w:szCs w:val="20"/>
          <w:lang w:val="en-GB"/>
        </w:rPr>
        <w:t>,</w:t>
      </w:r>
      <w:r w:rsidRPr="001F66E2">
        <w:rPr>
          <w:sz w:val="20"/>
          <w:szCs w:val="20"/>
          <w:lang w:val="en-GB"/>
        </w:rPr>
        <w:t xml:space="preserve"> and social media community participation develops social media </w:t>
      </w:r>
      <w:r>
        <w:rPr>
          <w:sz w:val="20"/>
          <w:szCs w:val="20"/>
          <w:lang w:val="en-GB"/>
        </w:rPr>
        <w:t xml:space="preserve">brand </w:t>
      </w:r>
      <w:r w:rsidRPr="001F66E2">
        <w:rPr>
          <w:sz w:val="20"/>
          <w:szCs w:val="20"/>
          <w:lang w:val="en-GB"/>
        </w:rPr>
        <w:t>trust (H5)</w:t>
      </w:r>
      <w:r>
        <w:rPr>
          <w:sz w:val="20"/>
          <w:szCs w:val="20"/>
          <w:lang w:val="en-GB"/>
        </w:rPr>
        <w:t>.</w:t>
      </w:r>
      <w:r w:rsidRPr="001F66E2">
        <w:rPr>
          <w:sz w:val="20"/>
          <w:szCs w:val="20"/>
          <w:lang w:val="en-GB"/>
        </w:rPr>
        <w:t xml:space="preserve"> </w:t>
      </w:r>
      <w:r>
        <w:rPr>
          <w:sz w:val="20"/>
          <w:szCs w:val="20"/>
          <w:lang w:val="en-GB"/>
        </w:rPr>
        <w:t>Thus,</w:t>
      </w:r>
      <w:r w:rsidRPr="001F66E2">
        <w:rPr>
          <w:sz w:val="20"/>
          <w:szCs w:val="20"/>
          <w:lang w:val="en-GB"/>
        </w:rPr>
        <w:t xml:space="preserve"> </w:t>
      </w:r>
      <w:r>
        <w:rPr>
          <w:sz w:val="20"/>
          <w:szCs w:val="20"/>
          <w:lang w:val="en-GB"/>
        </w:rPr>
        <w:t xml:space="preserve">H4 and H5 are </w:t>
      </w:r>
      <w:r w:rsidRPr="001F66E2">
        <w:rPr>
          <w:sz w:val="20"/>
          <w:szCs w:val="20"/>
          <w:lang w:val="en-GB"/>
        </w:rPr>
        <w:t xml:space="preserve">supported. </w:t>
      </w:r>
    </w:p>
    <w:p w14:paraId="74A51A74"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sidRPr="001F66E2">
        <w:rPr>
          <w:sz w:val="20"/>
          <w:szCs w:val="20"/>
          <w:lang w:val="en-GB"/>
        </w:rPr>
        <w:t> </w:t>
      </w:r>
    </w:p>
    <w:p w14:paraId="7CF4C91A" w14:textId="77777777" w:rsidR="002B4435" w:rsidRPr="001F66E2" w:rsidRDefault="002B4435" w:rsidP="002B4435">
      <w:pPr>
        <w:pBdr>
          <w:top w:val="nil"/>
          <w:left w:val="nil"/>
          <w:bottom w:val="nil"/>
          <w:right w:val="nil"/>
          <w:between w:val="nil"/>
        </w:pBdr>
        <w:spacing w:after="0" w:line="240" w:lineRule="auto"/>
        <w:jc w:val="both"/>
        <w:rPr>
          <w:sz w:val="20"/>
          <w:szCs w:val="20"/>
          <w:lang w:val="en-GB"/>
        </w:rPr>
      </w:pPr>
      <w:r w:rsidRPr="001F66E2">
        <w:rPr>
          <w:sz w:val="20"/>
          <w:szCs w:val="20"/>
          <w:lang w:val="en-GB"/>
        </w:rPr>
        <w:t xml:space="preserve">Finally, the </w:t>
      </w:r>
      <w:r>
        <w:rPr>
          <w:sz w:val="20"/>
          <w:szCs w:val="20"/>
          <w:lang w:val="en-GB"/>
        </w:rPr>
        <w:t xml:space="preserve">present </w:t>
      </w:r>
      <w:r w:rsidRPr="001F66E2">
        <w:rPr>
          <w:sz w:val="20"/>
          <w:szCs w:val="20"/>
          <w:lang w:val="en-GB"/>
        </w:rPr>
        <w:t xml:space="preserve">study </w:t>
      </w:r>
      <w:r>
        <w:rPr>
          <w:sz w:val="20"/>
          <w:szCs w:val="20"/>
          <w:lang w:val="en-GB"/>
        </w:rPr>
        <w:t xml:space="preserve">was extended </w:t>
      </w:r>
      <w:r w:rsidRPr="001F66E2">
        <w:rPr>
          <w:sz w:val="20"/>
          <w:szCs w:val="20"/>
          <w:lang w:val="en-GB"/>
        </w:rPr>
        <w:t>to the SOR theory</w:t>
      </w:r>
      <w:r>
        <w:rPr>
          <w:sz w:val="20"/>
          <w:szCs w:val="20"/>
          <w:lang w:val="en-GB"/>
        </w:rPr>
        <w:t>,</w:t>
      </w:r>
      <w:r w:rsidRPr="001F66E2">
        <w:rPr>
          <w:sz w:val="20"/>
          <w:szCs w:val="20"/>
          <w:lang w:val="en-GB"/>
        </w:rPr>
        <w:t xml:space="preserve"> enhancing the </w:t>
      </w:r>
      <w:r>
        <w:rPr>
          <w:sz w:val="20"/>
          <w:szCs w:val="20"/>
          <w:lang w:val="en-GB"/>
        </w:rPr>
        <w:t xml:space="preserve">influence of </w:t>
      </w:r>
      <w:r w:rsidRPr="001F66E2">
        <w:rPr>
          <w:sz w:val="20"/>
          <w:szCs w:val="20"/>
          <w:lang w:val="en-GB"/>
        </w:rPr>
        <w:t xml:space="preserve">consumer incivility and </w:t>
      </w:r>
      <w:r>
        <w:rPr>
          <w:sz w:val="20"/>
          <w:szCs w:val="20"/>
          <w:lang w:val="en-GB"/>
        </w:rPr>
        <w:t>social media</w:t>
      </w:r>
      <w:r w:rsidRPr="001F66E2">
        <w:rPr>
          <w:sz w:val="20"/>
          <w:szCs w:val="20"/>
          <w:lang w:val="en-GB"/>
        </w:rPr>
        <w:t xml:space="preserve"> brand </w:t>
      </w:r>
      <w:r w:rsidRPr="001F66E2">
        <w:rPr>
          <w:rFonts w:eastAsia="Times New Roman"/>
          <w:sz w:val="20"/>
          <w:szCs w:val="20"/>
          <w:lang w:val="en-GB" w:eastAsia="en-US"/>
        </w:rPr>
        <w:t>representatives</w:t>
      </w:r>
      <w:r>
        <w:rPr>
          <w:rFonts w:eastAsia="Times New Roman"/>
          <w:sz w:val="20"/>
          <w:szCs w:val="20"/>
          <w:lang w:val="en-GB" w:eastAsia="en-US"/>
        </w:rPr>
        <w:t>’</w:t>
      </w:r>
      <w:r w:rsidRPr="001F66E2">
        <w:rPr>
          <w:rFonts w:eastAsia="Times New Roman"/>
          <w:sz w:val="20"/>
          <w:szCs w:val="20"/>
          <w:lang w:val="en-GB" w:eastAsia="en-US"/>
        </w:rPr>
        <w:t xml:space="preserve"> </w:t>
      </w:r>
      <w:r w:rsidRPr="001F66E2">
        <w:rPr>
          <w:sz w:val="20"/>
          <w:szCs w:val="20"/>
          <w:lang w:val="en-GB"/>
        </w:rPr>
        <w:t xml:space="preserve">efforts </w:t>
      </w:r>
      <w:r>
        <w:rPr>
          <w:iCs/>
          <w:sz w:val="20"/>
          <w:szCs w:val="20"/>
          <w:lang w:val="en-GB"/>
        </w:rPr>
        <w:t xml:space="preserve">to deal with it </w:t>
      </w:r>
      <w:r w:rsidRPr="001F66E2">
        <w:rPr>
          <w:sz w:val="20"/>
          <w:szCs w:val="20"/>
          <w:lang w:val="en-GB"/>
        </w:rPr>
        <w:t xml:space="preserve">on </w:t>
      </w:r>
      <w:r>
        <w:rPr>
          <w:sz w:val="20"/>
          <w:szCs w:val="20"/>
          <w:lang w:val="en-GB"/>
        </w:rPr>
        <w:t>social media</w:t>
      </w:r>
      <w:r w:rsidRPr="001F66E2">
        <w:rPr>
          <w:sz w:val="20"/>
          <w:szCs w:val="20"/>
          <w:lang w:val="en-GB"/>
        </w:rPr>
        <w:t xml:space="preserve"> brand community participation, which produces positive or negative social media </w:t>
      </w:r>
      <w:r>
        <w:rPr>
          <w:sz w:val="20"/>
          <w:szCs w:val="20"/>
          <w:lang w:val="en-GB"/>
        </w:rPr>
        <w:t xml:space="preserve">brand </w:t>
      </w:r>
      <w:r w:rsidRPr="001F66E2">
        <w:rPr>
          <w:sz w:val="20"/>
          <w:szCs w:val="20"/>
          <w:lang w:val="en-GB"/>
        </w:rPr>
        <w:t>trust.</w:t>
      </w:r>
    </w:p>
    <w:p w14:paraId="55D3D91D" w14:textId="77777777" w:rsidR="002B4435" w:rsidRDefault="002B4435" w:rsidP="002B4435">
      <w:pPr>
        <w:pStyle w:val="NoSpacing"/>
        <w:rPr>
          <w:b/>
          <w:bCs/>
          <w:sz w:val="20"/>
          <w:szCs w:val="20"/>
          <w:lang w:val="en-GB"/>
        </w:rPr>
      </w:pPr>
    </w:p>
    <w:p w14:paraId="3B3D1250" w14:textId="77777777" w:rsidR="002B4435" w:rsidRPr="001F66E2" w:rsidRDefault="002B4435" w:rsidP="002B4435">
      <w:pPr>
        <w:pStyle w:val="NoSpacing"/>
        <w:rPr>
          <w:b/>
          <w:bCs/>
          <w:sz w:val="20"/>
          <w:szCs w:val="20"/>
          <w:lang w:val="en-GB"/>
        </w:rPr>
      </w:pPr>
      <w:r w:rsidRPr="001F66E2">
        <w:rPr>
          <w:b/>
          <w:bCs/>
          <w:sz w:val="20"/>
          <w:szCs w:val="20"/>
          <w:lang w:val="en-GB"/>
        </w:rPr>
        <w:t>Managerial Implications</w:t>
      </w:r>
    </w:p>
    <w:p w14:paraId="30F46CAB" w14:textId="77777777" w:rsidR="002B4435" w:rsidRPr="001F66E2" w:rsidRDefault="002B4435" w:rsidP="002B4435">
      <w:pPr>
        <w:spacing w:after="0" w:line="240" w:lineRule="auto"/>
        <w:jc w:val="both"/>
        <w:rPr>
          <w:rFonts w:eastAsia="Times New Roman"/>
          <w:color w:val="222222"/>
          <w:szCs w:val="24"/>
          <w:lang w:val="en-GB" w:eastAsia="fi-FI"/>
        </w:rPr>
      </w:pPr>
      <w:r>
        <w:rPr>
          <w:rFonts w:eastAsia="Times New Roman"/>
          <w:color w:val="222222"/>
          <w:sz w:val="20"/>
          <w:szCs w:val="20"/>
          <w:lang w:eastAsia="fi-FI"/>
        </w:rPr>
        <w:t>C</w:t>
      </w:r>
      <w:r w:rsidRPr="0053716B">
        <w:rPr>
          <w:rFonts w:eastAsia="Times New Roman"/>
          <w:color w:val="222222"/>
          <w:sz w:val="20"/>
          <w:szCs w:val="20"/>
          <w:lang w:eastAsia="fi-FI"/>
        </w:rPr>
        <w:t>ontent/ service providers</w:t>
      </w:r>
      <w:r>
        <w:rPr>
          <w:rFonts w:eastAsia="Times New Roman"/>
          <w:color w:val="222222"/>
          <w:sz w:val="20"/>
          <w:szCs w:val="20"/>
          <w:lang w:eastAsia="fi-FI"/>
        </w:rPr>
        <w:t xml:space="preserve"> </w:t>
      </w:r>
      <w:r w:rsidRPr="001F66E2">
        <w:rPr>
          <w:rFonts w:eastAsia="Times New Roman"/>
          <w:color w:val="222222"/>
          <w:sz w:val="20"/>
          <w:szCs w:val="20"/>
          <w:lang w:val="en-GB" w:eastAsia="fi-FI"/>
        </w:rPr>
        <w:t>should communicate dyadic approaches in terms of focal uncivil consumer-to-consumer and consumer</w:t>
      </w:r>
      <w:r>
        <w:rPr>
          <w:rFonts w:eastAsia="Times New Roman"/>
          <w:color w:val="222222"/>
          <w:sz w:val="20"/>
          <w:szCs w:val="20"/>
          <w:lang w:val="en-GB" w:eastAsia="fi-FI"/>
        </w:rPr>
        <w:t>–</w:t>
      </w:r>
      <w:r w:rsidRPr="001F66E2">
        <w:rPr>
          <w:rFonts w:eastAsia="Times New Roman"/>
          <w:color w:val="222222"/>
          <w:sz w:val="20"/>
          <w:szCs w:val="20"/>
          <w:lang w:val="en-GB" w:eastAsia="fi-FI"/>
        </w:rPr>
        <w:t xml:space="preserve">firm interactions based on interactive practices. For instance, service providers should monitor consumer </w:t>
      </w:r>
      <w:r>
        <w:rPr>
          <w:rFonts w:eastAsia="Times New Roman"/>
          <w:color w:val="222222"/>
          <w:sz w:val="20"/>
          <w:szCs w:val="20"/>
          <w:lang w:val="en-GB" w:eastAsia="fi-FI"/>
        </w:rPr>
        <w:t xml:space="preserve">complaint </w:t>
      </w:r>
      <w:r w:rsidRPr="001F66E2">
        <w:rPr>
          <w:rFonts w:eastAsia="Times New Roman"/>
          <w:color w:val="222222"/>
          <w:sz w:val="20"/>
          <w:szCs w:val="20"/>
          <w:lang w:val="en-GB" w:eastAsia="fi-FI"/>
        </w:rPr>
        <w:t xml:space="preserve">activity separately </w:t>
      </w:r>
      <w:r>
        <w:rPr>
          <w:rFonts w:eastAsia="Times New Roman"/>
          <w:color w:val="222222"/>
          <w:sz w:val="20"/>
          <w:szCs w:val="20"/>
          <w:lang w:val="en-GB" w:eastAsia="fi-FI"/>
        </w:rPr>
        <w:t xml:space="preserve">from </w:t>
      </w:r>
      <w:r w:rsidRPr="001F66E2">
        <w:rPr>
          <w:rFonts w:eastAsia="Times New Roman"/>
          <w:color w:val="222222"/>
          <w:sz w:val="20"/>
          <w:szCs w:val="20"/>
          <w:lang w:val="en-GB" w:eastAsia="fi-FI"/>
        </w:rPr>
        <w:t>other consumer</w:t>
      </w:r>
      <w:r>
        <w:rPr>
          <w:rFonts w:eastAsia="Times New Roman"/>
          <w:color w:val="222222"/>
          <w:sz w:val="20"/>
          <w:szCs w:val="20"/>
          <w:lang w:val="en-GB" w:eastAsia="fi-FI"/>
        </w:rPr>
        <w:t>–</w:t>
      </w:r>
      <w:r w:rsidRPr="001F66E2">
        <w:rPr>
          <w:rFonts w:eastAsia="Times New Roman"/>
          <w:color w:val="222222"/>
          <w:sz w:val="20"/>
          <w:szCs w:val="20"/>
          <w:lang w:val="en-GB" w:eastAsia="fi-FI"/>
        </w:rPr>
        <w:t xml:space="preserve">firm interactions in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These separate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forums co-create information exchanges between consumers and firms (</w:t>
      </w:r>
      <w:proofErr w:type="spellStart"/>
      <w:r w:rsidRPr="001F66E2">
        <w:rPr>
          <w:rFonts w:eastAsia="Times New Roman"/>
          <w:color w:val="222222"/>
          <w:sz w:val="20"/>
          <w:szCs w:val="20"/>
          <w:lang w:val="en-GB" w:eastAsia="fi-FI"/>
        </w:rPr>
        <w:t>Skålén</w:t>
      </w:r>
      <w:proofErr w:type="spellEnd"/>
      <w:r w:rsidRPr="001F66E2">
        <w:rPr>
          <w:rFonts w:eastAsia="Times New Roman"/>
          <w:color w:val="222222"/>
          <w:sz w:val="20"/>
          <w:szCs w:val="20"/>
          <w:lang w:val="en-GB" w:eastAsia="fi-FI"/>
        </w:rPr>
        <w:t xml:space="preserve"> </w:t>
      </w:r>
      <w:r w:rsidRPr="001F66E2">
        <w:rPr>
          <w:rFonts w:eastAsia="Times New Roman"/>
          <w:i/>
          <w:iCs/>
          <w:color w:val="222222"/>
          <w:sz w:val="20"/>
          <w:szCs w:val="20"/>
          <w:lang w:val="en-GB" w:eastAsia="fi-FI"/>
        </w:rPr>
        <w:t>et al</w:t>
      </w:r>
      <w:r w:rsidRPr="001F66E2">
        <w:rPr>
          <w:rFonts w:eastAsia="Times New Roman"/>
          <w:color w:val="222222"/>
          <w:sz w:val="20"/>
          <w:szCs w:val="20"/>
          <w:lang w:val="en-GB" w:eastAsia="fi-FI"/>
        </w:rPr>
        <w:t xml:space="preserve">., 2015). However, </w:t>
      </w:r>
      <w:proofErr w:type="spellStart"/>
      <w:r w:rsidRPr="001F66E2">
        <w:rPr>
          <w:rFonts w:eastAsia="Times New Roman"/>
          <w:color w:val="222222"/>
          <w:sz w:val="20"/>
          <w:szCs w:val="20"/>
          <w:lang w:val="en-GB" w:eastAsia="fi-FI"/>
        </w:rPr>
        <w:t>Bacile</w:t>
      </w:r>
      <w:proofErr w:type="spellEnd"/>
      <w:r w:rsidRPr="001F66E2">
        <w:rPr>
          <w:rFonts w:eastAsia="Times New Roman"/>
          <w:color w:val="222222"/>
          <w:sz w:val="20"/>
          <w:szCs w:val="20"/>
          <w:lang w:val="en-GB" w:eastAsia="fi-FI"/>
        </w:rPr>
        <w:t xml:space="preserve"> </w:t>
      </w:r>
      <w:r w:rsidRPr="001F66E2">
        <w:rPr>
          <w:rFonts w:eastAsia="Times New Roman"/>
          <w:i/>
          <w:iCs/>
          <w:color w:val="222222"/>
          <w:sz w:val="20"/>
          <w:szCs w:val="20"/>
          <w:lang w:val="en-GB" w:eastAsia="fi-FI"/>
        </w:rPr>
        <w:t>et al</w:t>
      </w:r>
      <w:r w:rsidRPr="001F66E2">
        <w:rPr>
          <w:rFonts w:eastAsia="Times New Roman"/>
          <w:color w:val="222222"/>
          <w:sz w:val="20"/>
          <w:szCs w:val="20"/>
          <w:lang w:val="en-GB" w:eastAsia="fi-FI"/>
        </w:rPr>
        <w:t xml:space="preserve">. (2018) recommended that standard operating procedures (SOPs) be set for complainant consumer handling via social media. It is </w:t>
      </w:r>
      <w:r>
        <w:rPr>
          <w:rFonts w:eastAsia="Times New Roman"/>
          <w:color w:val="222222"/>
          <w:sz w:val="20"/>
          <w:szCs w:val="20"/>
          <w:lang w:val="en-GB" w:eastAsia="fi-FI"/>
        </w:rPr>
        <w:t xml:space="preserve">suggested that </w:t>
      </w:r>
      <w:r w:rsidRPr="001F66E2">
        <w:rPr>
          <w:rFonts w:eastAsia="Times New Roman"/>
          <w:color w:val="222222"/>
          <w:sz w:val="20"/>
          <w:szCs w:val="20"/>
          <w:lang w:val="en-GB" w:eastAsia="fi-FI"/>
        </w:rPr>
        <w:t xml:space="preserve">firms develop complaint cells to address </w:t>
      </w:r>
      <w:r>
        <w:rPr>
          <w:rFonts w:eastAsia="Times New Roman"/>
          <w:color w:val="222222"/>
          <w:sz w:val="20"/>
          <w:szCs w:val="20"/>
          <w:lang w:val="en-GB" w:eastAsia="fi-FI"/>
        </w:rPr>
        <w:t xml:space="preserve">consumer incivility in accordance with the </w:t>
      </w:r>
      <w:r w:rsidRPr="001F66E2">
        <w:rPr>
          <w:rFonts w:eastAsia="Times New Roman"/>
          <w:color w:val="222222"/>
          <w:sz w:val="20"/>
          <w:szCs w:val="20"/>
          <w:lang w:val="en-GB" w:eastAsia="fi-FI"/>
        </w:rPr>
        <w:t xml:space="preserve">SOPs. Uncivil consumers affect other consumers and </w:t>
      </w:r>
      <w:r>
        <w:rPr>
          <w:rFonts w:eastAsia="Times New Roman"/>
          <w:color w:val="222222"/>
          <w:sz w:val="20"/>
          <w:szCs w:val="20"/>
          <w:lang w:val="en-GB" w:eastAsia="fi-FI"/>
        </w:rPr>
        <w:t xml:space="preserve">the </w:t>
      </w:r>
      <w:r w:rsidRPr="001F66E2">
        <w:rPr>
          <w:rFonts w:eastAsia="Times New Roman"/>
          <w:color w:val="222222"/>
          <w:sz w:val="20"/>
          <w:szCs w:val="20"/>
          <w:lang w:val="en-GB" w:eastAsia="fi-FI"/>
        </w:rPr>
        <w:t xml:space="preserve">service providers in the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environment. Company personnel who </w:t>
      </w:r>
      <w:r>
        <w:rPr>
          <w:rFonts w:eastAsia="Times New Roman"/>
          <w:color w:val="222222"/>
          <w:sz w:val="20"/>
          <w:szCs w:val="20"/>
          <w:lang w:val="en-GB" w:eastAsia="fi-FI"/>
        </w:rPr>
        <w:t xml:space="preserve">are tasked with dealing with </w:t>
      </w:r>
      <w:r w:rsidRPr="001F66E2">
        <w:rPr>
          <w:rFonts w:eastAsia="Times New Roman"/>
          <w:color w:val="222222"/>
          <w:sz w:val="20"/>
          <w:szCs w:val="20"/>
          <w:lang w:val="en-GB" w:eastAsia="fi-FI"/>
        </w:rPr>
        <w:t>uncivil consumers should be trained in business and communication tactics</w:t>
      </w:r>
      <w:r>
        <w:rPr>
          <w:rFonts w:eastAsia="Times New Roman"/>
          <w:color w:val="222222"/>
          <w:sz w:val="20"/>
          <w:szCs w:val="20"/>
          <w:lang w:val="en-GB" w:eastAsia="fi-FI"/>
        </w:rPr>
        <w:t>,</w:t>
      </w:r>
      <w:r w:rsidRPr="001F66E2">
        <w:rPr>
          <w:rFonts w:eastAsia="Times New Roman"/>
          <w:color w:val="222222"/>
          <w:sz w:val="20"/>
          <w:szCs w:val="20"/>
          <w:lang w:val="en-GB" w:eastAsia="fi-FI"/>
        </w:rPr>
        <w:t xml:space="preserve"> such as consumer-to-consumer and employee conflict resolution</w:t>
      </w:r>
      <w:r>
        <w:rPr>
          <w:rFonts w:eastAsia="Times New Roman"/>
          <w:color w:val="222222"/>
          <w:sz w:val="20"/>
          <w:szCs w:val="20"/>
          <w:lang w:val="en-GB" w:eastAsia="fi-FI"/>
        </w:rPr>
        <w:t>,</w:t>
      </w:r>
      <w:r w:rsidRPr="001F66E2">
        <w:rPr>
          <w:rFonts w:eastAsia="Times New Roman"/>
          <w:color w:val="222222"/>
          <w:sz w:val="20"/>
          <w:szCs w:val="20"/>
          <w:lang w:val="en-GB" w:eastAsia="fi-FI"/>
        </w:rPr>
        <w:t xml:space="preserve"> and </w:t>
      </w:r>
      <w:r>
        <w:rPr>
          <w:rFonts w:eastAsia="Times New Roman"/>
          <w:color w:val="222222"/>
          <w:sz w:val="20"/>
          <w:szCs w:val="20"/>
          <w:lang w:val="en-GB" w:eastAsia="fi-FI"/>
        </w:rPr>
        <w:t xml:space="preserve">in </w:t>
      </w:r>
      <w:r w:rsidRPr="001F66E2">
        <w:rPr>
          <w:rFonts w:eastAsia="Times New Roman"/>
          <w:color w:val="222222"/>
          <w:sz w:val="20"/>
          <w:szCs w:val="20"/>
          <w:lang w:val="en-GB" w:eastAsia="fi-FI"/>
        </w:rPr>
        <w:t>identify</w:t>
      </w:r>
      <w:r>
        <w:rPr>
          <w:rFonts w:eastAsia="Times New Roman"/>
          <w:color w:val="222222"/>
          <w:sz w:val="20"/>
          <w:szCs w:val="20"/>
          <w:lang w:val="en-GB" w:eastAsia="fi-FI"/>
        </w:rPr>
        <w:t>ing</w:t>
      </w:r>
      <w:r w:rsidRPr="001F66E2">
        <w:rPr>
          <w:rFonts w:eastAsia="Times New Roman"/>
          <w:color w:val="222222"/>
          <w:sz w:val="20"/>
          <w:szCs w:val="20"/>
          <w:lang w:val="en-GB" w:eastAsia="fi-FI"/>
        </w:rPr>
        <w:t xml:space="preserve"> </w:t>
      </w:r>
      <w:r>
        <w:rPr>
          <w:rFonts w:eastAsia="Times New Roman"/>
          <w:color w:val="222222"/>
          <w:sz w:val="20"/>
          <w:szCs w:val="20"/>
          <w:lang w:val="en-GB" w:eastAsia="fi-FI"/>
        </w:rPr>
        <w:t xml:space="preserve">potential </w:t>
      </w:r>
      <w:r w:rsidRPr="001F66E2">
        <w:rPr>
          <w:rFonts w:eastAsia="Times New Roman"/>
          <w:color w:val="222222"/>
          <w:sz w:val="20"/>
          <w:szCs w:val="20"/>
          <w:lang w:val="en-GB" w:eastAsia="fi-FI"/>
        </w:rPr>
        <w:t>uncivil clashes.</w:t>
      </w:r>
    </w:p>
    <w:p w14:paraId="2BF99B4A" w14:textId="77777777" w:rsidR="002B4435" w:rsidRPr="001F66E2" w:rsidRDefault="002B4435" w:rsidP="002B4435">
      <w:pPr>
        <w:spacing w:after="0" w:line="240" w:lineRule="auto"/>
        <w:jc w:val="both"/>
        <w:rPr>
          <w:rFonts w:eastAsia="Times New Roman"/>
          <w:color w:val="222222"/>
          <w:szCs w:val="24"/>
          <w:lang w:val="en-GB" w:eastAsia="fi-FI"/>
        </w:rPr>
      </w:pPr>
      <w:r w:rsidRPr="001F66E2">
        <w:rPr>
          <w:rFonts w:eastAsia="Times New Roman"/>
          <w:color w:val="222222"/>
          <w:sz w:val="20"/>
          <w:szCs w:val="20"/>
          <w:lang w:val="en-GB" w:eastAsia="fi-FI"/>
        </w:rPr>
        <w:t> </w:t>
      </w:r>
    </w:p>
    <w:p w14:paraId="21C71E15" w14:textId="77777777" w:rsidR="002B4435" w:rsidRPr="001F66E2" w:rsidRDefault="002B4435" w:rsidP="002B4435">
      <w:pPr>
        <w:spacing w:after="0" w:line="240" w:lineRule="auto"/>
        <w:jc w:val="both"/>
        <w:rPr>
          <w:rFonts w:eastAsia="Times New Roman"/>
          <w:color w:val="222222"/>
          <w:szCs w:val="24"/>
          <w:lang w:val="en-GB" w:eastAsia="fi-FI"/>
        </w:rPr>
      </w:pPr>
      <w:r w:rsidRPr="001F66E2">
        <w:rPr>
          <w:rFonts w:eastAsia="Times New Roman"/>
          <w:color w:val="222222"/>
          <w:sz w:val="20"/>
          <w:szCs w:val="20"/>
          <w:lang w:val="en-GB" w:eastAsia="fi-FI"/>
        </w:rPr>
        <w:t>Service providers should invest in consumer database software to use consumer relationship management to identify consumer activities on social media. Technolog</w:t>
      </w:r>
      <w:r>
        <w:rPr>
          <w:rFonts w:eastAsia="Times New Roman"/>
          <w:color w:val="222222"/>
          <w:sz w:val="20"/>
          <w:szCs w:val="20"/>
          <w:lang w:val="en-GB" w:eastAsia="fi-FI"/>
        </w:rPr>
        <w:t>ical</w:t>
      </w:r>
      <w:r w:rsidRPr="001F66E2">
        <w:rPr>
          <w:rFonts w:eastAsia="Times New Roman"/>
          <w:color w:val="222222"/>
          <w:sz w:val="20"/>
          <w:szCs w:val="20"/>
          <w:lang w:val="en-GB" w:eastAsia="fi-FI"/>
        </w:rPr>
        <w:t xml:space="preserve"> advancements</w:t>
      </w:r>
      <w:r>
        <w:rPr>
          <w:rFonts w:eastAsia="Times New Roman"/>
          <w:color w:val="222222"/>
          <w:sz w:val="20"/>
          <w:szCs w:val="20"/>
          <w:lang w:val="en-GB" w:eastAsia="fi-FI"/>
        </w:rPr>
        <w:t xml:space="preserve"> should be employed,</w:t>
      </w:r>
      <w:r w:rsidRPr="001F66E2">
        <w:rPr>
          <w:rFonts w:eastAsia="Times New Roman"/>
          <w:color w:val="222222"/>
          <w:sz w:val="20"/>
          <w:szCs w:val="20"/>
          <w:lang w:val="en-GB" w:eastAsia="fi-FI"/>
        </w:rPr>
        <w:t xml:space="preserve"> such as artificial intelligence algorithms, sentiment analysis </w:t>
      </w:r>
      <w:r>
        <w:rPr>
          <w:rFonts w:eastAsia="Times New Roman"/>
          <w:color w:val="222222"/>
          <w:sz w:val="20"/>
          <w:szCs w:val="20"/>
          <w:lang w:val="en-GB" w:eastAsia="fi-FI"/>
        </w:rPr>
        <w:t xml:space="preserve">and the </w:t>
      </w:r>
      <w:r w:rsidRPr="001F66E2">
        <w:rPr>
          <w:rFonts w:eastAsia="Times New Roman"/>
          <w:color w:val="222222"/>
          <w:sz w:val="20"/>
          <w:szCs w:val="20"/>
          <w:lang w:val="en-GB" w:eastAsia="fi-FI"/>
        </w:rPr>
        <w:t>use of automated software and human talent to monitor consumer</w:t>
      </w:r>
      <w:r>
        <w:rPr>
          <w:rFonts w:eastAsia="Times New Roman"/>
          <w:color w:val="222222"/>
          <w:sz w:val="20"/>
          <w:szCs w:val="20"/>
          <w:lang w:val="en-GB" w:eastAsia="fi-FI"/>
        </w:rPr>
        <w:t>–</w:t>
      </w:r>
      <w:r w:rsidRPr="001F66E2">
        <w:rPr>
          <w:rFonts w:eastAsia="Times New Roman"/>
          <w:color w:val="222222"/>
          <w:sz w:val="20"/>
          <w:szCs w:val="20"/>
          <w:lang w:val="en-GB" w:eastAsia="fi-FI"/>
        </w:rPr>
        <w:t xml:space="preserve">firm interactions on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channels. This can be a more manageable strategy</w:t>
      </w:r>
      <w:r>
        <w:rPr>
          <w:rFonts w:eastAsia="Times New Roman"/>
          <w:color w:val="222222"/>
          <w:sz w:val="20"/>
          <w:szCs w:val="20"/>
          <w:lang w:val="en-GB" w:eastAsia="fi-FI"/>
        </w:rPr>
        <w:t xml:space="preserve"> for dealing with consumer incivility</w:t>
      </w:r>
      <w:r w:rsidRPr="001F66E2">
        <w:rPr>
          <w:rFonts w:eastAsia="Times New Roman"/>
          <w:color w:val="222222"/>
          <w:sz w:val="20"/>
          <w:szCs w:val="20"/>
          <w:lang w:val="en-GB" w:eastAsia="fi-FI"/>
        </w:rPr>
        <w:t>. Firms can trace potentially problematic</w:t>
      </w:r>
      <w:r>
        <w:rPr>
          <w:rFonts w:eastAsia="Times New Roman"/>
          <w:color w:val="222222"/>
          <w:sz w:val="20"/>
          <w:szCs w:val="20"/>
          <w:lang w:val="en-GB" w:eastAsia="fi-FI"/>
        </w:rPr>
        <w:t xml:space="preserve"> </w:t>
      </w:r>
      <w:r w:rsidRPr="001F66E2">
        <w:rPr>
          <w:rFonts w:eastAsia="Times New Roman"/>
          <w:color w:val="222222"/>
          <w:sz w:val="20"/>
          <w:szCs w:val="20"/>
          <w:lang w:val="en-GB" w:eastAsia="fi-FI"/>
        </w:rPr>
        <w:t xml:space="preserve">consumers participating in offensive </w:t>
      </w:r>
      <w:r>
        <w:rPr>
          <w:rFonts w:eastAsia="Times New Roman"/>
          <w:color w:val="222222"/>
          <w:sz w:val="20"/>
          <w:szCs w:val="20"/>
          <w:lang w:val="en-GB" w:eastAsia="fi-FI"/>
        </w:rPr>
        <w:t>behaviours on social media platforms</w:t>
      </w:r>
      <w:r w:rsidRPr="001F66E2">
        <w:rPr>
          <w:rFonts w:eastAsia="Times New Roman"/>
          <w:color w:val="222222"/>
          <w:sz w:val="20"/>
          <w:szCs w:val="20"/>
          <w:lang w:val="en-GB" w:eastAsia="fi-FI"/>
        </w:rPr>
        <w:t xml:space="preserve">. </w:t>
      </w:r>
      <w:r>
        <w:rPr>
          <w:rFonts w:eastAsia="Times New Roman"/>
          <w:color w:val="222222"/>
          <w:sz w:val="20"/>
          <w:szCs w:val="20"/>
          <w:lang w:val="en-GB" w:eastAsia="fi-FI"/>
        </w:rPr>
        <w:t xml:space="preserve">Potential consumer </w:t>
      </w:r>
      <w:r w:rsidRPr="001F66E2">
        <w:rPr>
          <w:rFonts w:eastAsia="Times New Roman"/>
          <w:color w:val="222222"/>
          <w:sz w:val="20"/>
          <w:szCs w:val="20"/>
          <w:lang w:val="en-GB" w:eastAsia="fi-FI"/>
        </w:rPr>
        <w:t xml:space="preserve">incivility can be assumed to record and capture potentially problematic consumers; </w:t>
      </w:r>
      <w:r>
        <w:rPr>
          <w:rFonts w:eastAsia="Times New Roman"/>
          <w:color w:val="222222"/>
          <w:sz w:val="20"/>
          <w:szCs w:val="20"/>
          <w:lang w:val="en-GB" w:eastAsia="fi-FI"/>
        </w:rPr>
        <w:t xml:space="preserve">these consumers can </w:t>
      </w:r>
      <w:r w:rsidRPr="001F66E2">
        <w:rPr>
          <w:rFonts w:eastAsia="Times New Roman"/>
          <w:color w:val="222222"/>
          <w:sz w:val="20"/>
          <w:szCs w:val="20"/>
          <w:lang w:val="en-GB" w:eastAsia="fi-FI"/>
        </w:rPr>
        <w:t>be engaged and tracked for the purpose o</w:t>
      </w:r>
      <w:r>
        <w:rPr>
          <w:rFonts w:eastAsia="Times New Roman"/>
          <w:color w:val="222222"/>
          <w:sz w:val="20"/>
          <w:szCs w:val="20"/>
          <w:lang w:val="en-GB" w:eastAsia="fi-FI"/>
        </w:rPr>
        <w:t>f</w:t>
      </w:r>
      <w:r w:rsidRPr="001F66E2">
        <w:rPr>
          <w:rFonts w:eastAsia="Times New Roman"/>
          <w:color w:val="222222"/>
          <w:sz w:val="20"/>
          <w:szCs w:val="20"/>
          <w:lang w:val="en-GB" w:eastAsia="fi-FI"/>
        </w:rPr>
        <w:t xml:space="preserve"> manag</w:t>
      </w:r>
      <w:r>
        <w:rPr>
          <w:rFonts w:eastAsia="Times New Roman"/>
          <w:color w:val="222222"/>
          <w:sz w:val="20"/>
          <w:szCs w:val="20"/>
          <w:lang w:val="en-GB" w:eastAsia="fi-FI"/>
        </w:rPr>
        <w:t>ing</w:t>
      </w:r>
      <w:r w:rsidRPr="001F66E2">
        <w:rPr>
          <w:rFonts w:eastAsia="Times New Roman"/>
          <w:color w:val="222222"/>
          <w:sz w:val="20"/>
          <w:szCs w:val="20"/>
          <w:lang w:val="en-GB" w:eastAsia="fi-FI"/>
        </w:rPr>
        <w:t xml:space="preserve"> uncivil consumers in the modern age of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activities.</w:t>
      </w:r>
    </w:p>
    <w:p w14:paraId="6ED9C7F2" w14:textId="77777777" w:rsidR="002B4435" w:rsidRPr="001F66E2" w:rsidRDefault="002B4435" w:rsidP="002B4435">
      <w:pPr>
        <w:spacing w:after="0" w:line="240" w:lineRule="auto"/>
        <w:jc w:val="both"/>
        <w:rPr>
          <w:rFonts w:eastAsia="Times New Roman"/>
          <w:color w:val="222222"/>
          <w:szCs w:val="24"/>
          <w:lang w:val="en-GB" w:eastAsia="fi-FI"/>
        </w:rPr>
      </w:pPr>
    </w:p>
    <w:p w14:paraId="33D87139" w14:textId="77777777" w:rsidR="002B4435" w:rsidRPr="001F66E2" w:rsidRDefault="002B4435" w:rsidP="002B4435">
      <w:pPr>
        <w:spacing w:after="0" w:line="240" w:lineRule="auto"/>
        <w:rPr>
          <w:rFonts w:eastAsia="Times New Roman"/>
          <w:color w:val="222222"/>
          <w:szCs w:val="24"/>
          <w:lang w:val="en-GB" w:eastAsia="fi-FI"/>
        </w:rPr>
      </w:pPr>
      <w:r>
        <w:rPr>
          <w:rFonts w:eastAsia="Times New Roman"/>
          <w:b/>
          <w:bCs/>
          <w:color w:val="222222"/>
          <w:sz w:val="20"/>
          <w:szCs w:val="20"/>
          <w:lang w:val="en-GB" w:eastAsia="fi-FI"/>
        </w:rPr>
        <w:t xml:space="preserve">Study </w:t>
      </w:r>
      <w:r w:rsidRPr="001F66E2">
        <w:rPr>
          <w:rFonts w:eastAsia="Times New Roman"/>
          <w:b/>
          <w:bCs/>
          <w:color w:val="222222"/>
          <w:sz w:val="20"/>
          <w:szCs w:val="20"/>
          <w:lang w:val="en-GB" w:eastAsia="fi-FI"/>
        </w:rPr>
        <w:t>Limitations and Directions for Future Research</w:t>
      </w:r>
    </w:p>
    <w:p w14:paraId="117C572D" w14:textId="16DBB1DB" w:rsidR="002B4435" w:rsidRPr="001F66E2" w:rsidRDefault="002B4435" w:rsidP="002B4435">
      <w:pPr>
        <w:spacing w:after="0" w:line="240" w:lineRule="auto"/>
        <w:jc w:val="both"/>
        <w:rPr>
          <w:rFonts w:eastAsia="Times New Roman"/>
          <w:color w:val="222222"/>
          <w:szCs w:val="24"/>
          <w:lang w:val="en-GB" w:eastAsia="fi-FI"/>
        </w:rPr>
      </w:pPr>
      <w:r w:rsidRPr="001F66E2">
        <w:rPr>
          <w:rFonts w:eastAsia="Times New Roman"/>
          <w:color w:val="222222"/>
          <w:sz w:val="20"/>
          <w:szCs w:val="20"/>
          <w:lang w:val="en-GB" w:eastAsia="fi-FI"/>
        </w:rPr>
        <w:t>In today’</w:t>
      </w:r>
      <w:r>
        <w:rPr>
          <w:rFonts w:eastAsia="Times New Roman"/>
          <w:color w:val="222222"/>
          <w:sz w:val="20"/>
          <w:szCs w:val="20"/>
          <w:lang w:val="en-GB" w:eastAsia="fi-FI"/>
        </w:rPr>
        <w:t>s</w:t>
      </w:r>
      <w:r w:rsidRPr="001F66E2">
        <w:rPr>
          <w:rFonts w:eastAsia="Times New Roman"/>
          <w:color w:val="222222"/>
          <w:sz w:val="20"/>
          <w:szCs w:val="20"/>
          <w:lang w:val="en-GB" w:eastAsia="fi-FI"/>
        </w:rPr>
        <w:t xml:space="preserve"> digital era, consumer acceptance o</w:t>
      </w:r>
      <w:r>
        <w:rPr>
          <w:rFonts w:eastAsia="Times New Roman"/>
          <w:color w:val="222222"/>
          <w:sz w:val="20"/>
          <w:szCs w:val="20"/>
          <w:lang w:val="en-GB" w:eastAsia="fi-FI"/>
        </w:rPr>
        <w:t>f</w:t>
      </w:r>
      <w:r w:rsidRPr="001F66E2">
        <w:rPr>
          <w:rFonts w:eastAsia="Times New Roman"/>
          <w:color w:val="222222"/>
          <w:sz w:val="20"/>
          <w:szCs w:val="20"/>
          <w:lang w:val="en-GB" w:eastAsia="fi-FI"/>
        </w:rPr>
        <w:t xml:space="preserve"> community participation may </w:t>
      </w:r>
      <w:r>
        <w:rPr>
          <w:rFonts w:eastAsia="Times New Roman"/>
          <w:color w:val="222222"/>
          <w:sz w:val="20"/>
          <w:szCs w:val="20"/>
          <w:lang w:val="en-GB" w:eastAsia="fi-FI"/>
        </w:rPr>
        <w:t xml:space="preserve">result in </w:t>
      </w:r>
      <w:r w:rsidRPr="001F66E2">
        <w:rPr>
          <w:rFonts w:eastAsia="Times New Roman"/>
          <w:color w:val="222222"/>
          <w:sz w:val="20"/>
          <w:szCs w:val="20"/>
          <w:lang w:val="en-GB" w:eastAsia="fi-FI"/>
        </w:rPr>
        <w:t xml:space="preserve">negative exposure </w:t>
      </w:r>
      <w:r>
        <w:rPr>
          <w:rFonts w:eastAsia="Times New Roman"/>
          <w:color w:val="222222"/>
          <w:sz w:val="20"/>
          <w:szCs w:val="20"/>
          <w:lang w:val="en-GB" w:eastAsia="fi-FI"/>
        </w:rPr>
        <w:t xml:space="preserve">for </w:t>
      </w:r>
      <w:r w:rsidRPr="001F66E2">
        <w:rPr>
          <w:rFonts w:eastAsia="Times New Roman"/>
          <w:color w:val="222222"/>
          <w:sz w:val="20"/>
          <w:szCs w:val="20"/>
          <w:lang w:val="en-GB" w:eastAsia="fi-FI"/>
        </w:rPr>
        <w:t xml:space="preserve">firms. </w:t>
      </w:r>
      <w:r>
        <w:rPr>
          <w:rFonts w:eastAsia="Times New Roman"/>
          <w:color w:val="222222"/>
          <w:sz w:val="20"/>
          <w:szCs w:val="20"/>
          <w:lang w:val="en-GB" w:eastAsia="fi-FI"/>
        </w:rPr>
        <w:t xml:space="preserve">Thus, it </w:t>
      </w:r>
      <w:r w:rsidRPr="001F66E2">
        <w:rPr>
          <w:rFonts w:eastAsia="Times New Roman"/>
          <w:color w:val="222222"/>
          <w:sz w:val="20"/>
          <w:szCs w:val="20"/>
          <w:lang w:val="en-GB" w:eastAsia="fi-FI"/>
        </w:rPr>
        <w:t>is important to understand consumer behaviour and develop positive engagements using intermediate digital communications (</w:t>
      </w:r>
      <w:proofErr w:type="spellStart"/>
      <w:r w:rsidRPr="001F66E2">
        <w:rPr>
          <w:rFonts w:eastAsia="Times New Roman"/>
          <w:color w:val="222222"/>
          <w:sz w:val="20"/>
          <w:szCs w:val="20"/>
          <w:lang w:val="en-GB" w:eastAsia="fi-FI"/>
        </w:rPr>
        <w:t>Obeidat</w:t>
      </w:r>
      <w:proofErr w:type="spellEnd"/>
      <w:r w:rsidRPr="001F66E2">
        <w:rPr>
          <w:rFonts w:eastAsia="Times New Roman"/>
          <w:color w:val="222222"/>
          <w:sz w:val="20"/>
          <w:szCs w:val="20"/>
          <w:lang w:val="en-GB" w:eastAsia="fi-FI"/>
        </w:rPr>
        <w:t xml:space="preserve"> </w:t>
      </w:r>
      <w:r w:rsidRPr="001F66E2">
        <w:rPr>
          <w:rFonts w:eastAsia="Times New Roman"/>
          <w:i/>
          <w:iCs/>
          <w:color w:val="222222"/>
          <w:sz w:val="20"/>
          <w:szCs w:val="20"/>
          <w:lang w:val="en-GB" w:eastAsia="fi-FI"/>
        </w:rPr>
        <w:t>et al</w:t>
      </w:r>
      <w:r w:rsidRPr="001F66E2">
        <w:rPr>
          <w:rFonts w:eastAsia="Times New Roman"/>
          <w:color w:val="222222"/>
          <w:sz w:val="20"/>
          <w:szCs w:val="20"/>
          <w:lang w:val="en-GB" w:eastAsia="fi-FI"/>
        </w:rPr>
        <w:t>.</w:t>
      </w:r>
      <w:r>
        <w:rPr>
          <w:rFonts w:eastAsia="Times New Roman"/>
          <w:color w:val="222222"/>
          <w:sz w:val="20"/>
          <w:szCs w:val="20"/>
          <w:lang w:val="en-GB" w:eastAsia="fi-FI"/>
        </w:rPr>
        <w:t>,</w:t>
      </w:r>
      <w:r w:rsidRPr="001F66E2">
        <w:rPr>
          <w:rFonts w:eastAsia="Times New Roman"/>
          <w:color w:val="222222"/>
          <w:sz w:val="20"/>
          <w:szCs w:val="20"/>
          <w:lang w:val="en-GB" w:eastAsia="fi-FI"/>
        </w:rPr>
        <w:t xml:space="preserve"> 2020). </w:t>
      </w:r>
      <w:r>
        <w:rPr>
          <w:rFonts w:eastAsia="Times New Roman"/>
          <w:color w:val="222222"/>
          <w:sz w:val="20"/>
          <w:szCs w:val="20"/>
          <w:lang w:val="en-GB" w:eastAsia="fi-FI"/>
        </w:rPr>
        <w:t xml:space="preserve">The </w:t>
      </w:r>
      <w:r w:rsidRPr="001F66E2">
        <w:rPr>
          <w:rFonts w:eastAsia="Times New Roman"/>
          <w:color w:val="222222"/>
          <w:sz w:val="20"/>
          <w:szCs w:val="20"/>
          <w:lang w:val="en-GB" w:eastAsia="fi-FI"/>
        </w:rPr>
        <w:t xml:space="preserve">present study </w:t>
      </w:r>
      <w:r>
        <w:rPr>
          <w:rFonts w:eastAsia="Times New Roman"/>
          <w:color w:val="222222"/>
          <w:sz w:val="20"/>
          <w:szCs w:val="20"/>
          <w:lang w:val="en-GB" w:eastAsia="fi-FI"/>
        </w:rPr>
        <w:t xml:space="preserve">examined </w:t>
      </w:r>
      <w:r w:rsidRPr="001F66E2">
        <w:rPr>
          <w:rFonts w:eastAsia="Times New Roman"/>
          <w:color w:val="222222"/>
          <w:sz w:val="20"/>
          <w:szCs w:val="20"/>
          <w:lang w:val="en-GB" w:eastAsia="fi-FI"/>
        </w:rPr>
        <w:t xml:space="preserve">the negative impact of consumer incivility on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brand community participation and social media </w:t>
      </w:r>
      <w:r>
        <w:rPr>
          <w:rFonts w:eastAsia="Times New Roman"/>
          <w:color w:val="222222"/>
          <w:sz w:val="20"/>
          <w:szCs w:val="20"/>
          <w:lang w:val="en-GB" w:eastAsia="fi-FI"/>
        </w:rPr>
        <w:t xml:space="preserve">brand </w:t>
      </w:r>
      <w:r w:rsidRPr="001F66E2">
        <w:rPr>
          <w:rFonts w:eastAsia="Times New Roman"/>
          <w:color w:val="222222"/>
          <w:sz w:val="20"/>
          <w:szCs w:val="20"/>
          <w:lang w:val="en-GB" w:eastAsia="fi-FI"/>
        </w:rPr>
        <w:t>trust</w:t>
      </w:r>
      <w:r>
        <w:rPr>
          <w:rFonts w:eastAsia="Times New Roman"/>
          <w:color w:val="222222"/>
          <w:sz w:val="20"/>
          <w:szCs w:val="20"/>
          <w:lang w:val="en-GB" w:eastAsia="fi-FI"/>
        </w:rPr>
        <w:t xml:space="preserve"> and the impact of the </w:t>
      </w:r>
      <w:r w:rsidRPr="001F66E2">
        <w:rPr>
          <w:rFonts w:eastAsia="Times New Roman"/>
          <w:color w:val="222222"/>
          <w:sz w:val="20"/>
          <w:szCs w:val="20"/>
          <w:lang w:val="en-GB" w:eastAsia="fi-FI"/>
        </w:rPr>
        <w:t>company representative</w:t>
      </w:r>
      <w:r>
        <w:rPr>
          <w:rFonts w:eastAsia="Times New Roman"/>
          <w:color w:val="222222"/>
          <w:sz w:val="20"/>
          <w:szCs w:val="20"/>
          <w:lang w:val="en-GB" w:eastAsia="fi-FI"/>
        </w:rPr>
        <w:t>s’ efforts to deal with it</w:t>
      </w:r>
      <w:r w:rsidRPr="001F66E2">
        <w:rPr>
          <w:rFonts w:eastAsia="Times New Roman"/>
          <w:color w:val="222222"/>
          <w:sz w:val="20"/>
          <w:szCs w:val="20"/>
          <w:lang w:val="en-GB" w:eastAsia="fi-FI"/>
        </w:rPr>
        <w:t xml:space="preserve">. </w:t>
      </w:r>
      <w:r>
        <w:rPr>
          <w:rFonts w:eastAsia="Times New Roman"/>
          <w:color w:val="222222"/>
          <w:sz w:val="20"/>
          <w:szCs w:val="20"/>
          <w:lang w:val="en-GB" w:eastAsia="fi-FI"/>
        </w:rPr>
        <w:t xml:space="preserve">Based on the study results, it is concluded </w:t>
      </w:r>
      <w:r w:rsidRPr="001F66E2">
        <w:rPr>
          <w:rFonts w:eastAsia="Times New Roman"/>
          <w:color w:val="222222"/>
          <w:sz w:val="20"/>
          <w:szCs w:val="20"/>
          <w:lang w:val="en-GB" w:eastAsia="fi-FI"/>
        </w:rPr>
        <w:t xml:space="preserve">that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brand community participation is important </w:t>
      </w:r>
      <w:r>
        <w:rPr>
          <w:rFonts w:eastAsia="Times New Roman"/>
          <w:color w:val="222222"/>
          <w:sz w:val="20"/>
          <w:szCs w:val="20"/>
          <w:lang w:val="en-GB" w:eastAsia="fi-FI"/>
        </w:rPr>
        <w:t xml:space="preserve">for generating </w:t>
      </w:r>
      <w:r w:rsidRPr="001F66E2">
        <w:rPr>
          <w:rFonts w:eastAsia="Times New Roman"/>
          <w:color w:val="222222"/>
          <w:sz w:val="20"/>
          <w:szCs w:val="20"/>
          <w:lang w:val="en-GB" w:eastAsia="fi-FI"/>
        </w:rPr>
        <w:t xml:space="preserve">social media </w:t>
      </w:r>
      <w:r>
        <w:rPr>
          <w:rFonts w:eastAsia="Times New Roman"/>
          <w:color w:val="222222"/>
          <w:sz w:val="20"/>
          <w:szCs w:val="20"/>
          <w:lang w:val="en-GB" w:eastAsia="fi-FI"/>
        </w:rPr>
        <w:t xml:space="preserve">brand </w:t>
      </w:r>
      <w:r w:rsidRPr="001F66E2">
        <w:rPr>
          <w:rFonts w:eastAsia="Times New Roman"/>
          <w:color w:val="222222"/>
          <w:sz w:val="20"/>
          <w:szCs w:val="20"/>
          <w:lang w:val="en-GB" w:eastAsia="fi-FI"/>
        </w:rPr>
        <w:t>trust</w:t>
      </w:r>
      <w:r>
        <w:rPr>
          <w:rFonts w:eastAsia="Times New Roman"/>
          <w:color w:val="222222"/>
          <w:sz w:val="20"/>
          <w:szCs w:val="20"/>
          <w:lang w:val="en-GB" w:eastAsia="fi-FI"/>
        </w:rPr>
        <w:t>, which can be gained</w:t>
      </w:r>
      <w:r w:rsidRPr="001F66E2">
        <w:rPr>
          <w:rFonts w:eastAsia="Times New Roman"/>
          <w:color w:val="222222"/>
          <w:sz w:val="20"/>
          <w:szCs w:val="20"/>
          <w:lang w:val="en-GB" w:eastAsia="fi-FI"/>
        </w:rPr>
        <w:t xml:space="preserve"> by increasing</w:t>
      </w:r>
      <w:r>
        <w:rPr>
          <w:rFonts w:eastAsia="Times New Roman"/>
          <w:color w:val="222222"/>
          <w:sz w:val="20"/>
          <w:szCs w:val="20"/>
          <w:lang w:val="en-GB" w:eastAsia="fi-FI"/>
        </w:rPr>
        <w:t xml:space="preserve"> the</w:t>
      </w:r>
      <w:r w:rsidRPr="001F66E2">
        <w:rPr>
          <w:rFonts w:eastAsia="Times New Roman"/>
          <w:color w:val="222222"/>
          <w:sz w:val="20"/>
          <w:szCs w:val="20"/>
          <w:lang w:val="en-GB" w:eastAsia="fi-FI"/>
        </w:rPr>
        <w:t xml:space="preserve"> company representatives</w:t>
      </w:r>
      <w:r>
        <w:rPr>
          <w:rFonts w:eastAsia="Times New Roman"/>
          <w:color w:val="222222"/>
          <w:sz w:val="20"/>
          <w:szCs w:val="20"/>
          <w:lang w:val="en-GB" w:eastAsia="fi-FI"/>
        </w:rPr>
        <w:t>’</w:t>
      </w:r>
      <w:r w:rsidRPr="001F66E2">
        <w:rPr>
          <w:rFonts w:eastAsia="Times New Roman"/>
          <w:color w:val="222222"/>
          <w:sz w:val="20"/>
          <w:szCs w:val="20"/>
          <w:lang w:val="en-GB" w:eastAsia="fi-FI"/>
        </w:rPr>
        <w:t xml:space="preserve"> efforts </w:t>
      </w:r>
      <w:r>
        <w:rPr>
          <w:rFonts w:eastAsia="Times New Roman"/>
          <w:color w:val="222222"/>
          <w:sz w:val="20"/>
          <w:szCs w:val="20"/>
          <w:lang w:val="en-GB" w:eastAsia="fi-FI"/>
        </w:rPr>
        <w:t xml:space="preserve">to deal with </w:t>
      </w:r>
      <w:r w:rsidRPr="001F66E2">
        <w:rPr>
          <w:rFonts w:eastAsia="Times New Roman"/>
          <w:color w:val="222222"/>
          <w:sz w:val="20"/>
          <w:szCs w:val="20"/>
          <w:lang w:val="en-GB" w:eastAsia="fi-FI"/>
        </w:rPr>
        <w:t xml:space="preserve">consumer incivility </w:t>
      </w:r>
      <w:r>
        <w:rPr>
          <w:rFonts w:eastAsia="Times New Roman"/>
          <w:color w:val="222222"/>
          <w:sz w:val="20"/>
          <w:szCs w:val="20"/>
          <w:lang w:val="en-GB" w:eastAsia="fi-FI"/>
        </w:rPr>
        <w:t>o</w:t>
      </w:r>
      <w:r w:rsidRPr="001F66E2">
        <w:rPr>
          <w:rFonts w:eastAsia="Times New Roman"/>
          <w:color w:val="222222"/>
          <w:sz w:val="20"/>
          <w:szCs w:val="20"/>
          <w:lang w:val="en-GB" w:eastAsia="fi-FI"/>
        </w:rPr>
        <w:t>n</w:t>
      </w:r>
      <w:r w:rsidRPr="001F66E2" w:rsidDel="00A7717B">
        <w:rPr>
          <w:rFonts w:eastAsia="Times New Roman"/>
          <w:color w:val="222222"/>
          <w:sz w:val="20"/>
          <w:szCs w:val="20"/>
          <w:lang w:val="en-GB" w:eastAsia="fi-FI"/>
        </w:rPr>
        <w:t xml:space="preserve">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platforms</w:t>
      </w:r>
      <w:r>
        <w:rPr>
          <w:rFonts w:eastAsia="Times New Roman"/>
          <w:color w:val="222222"/>
          <w:sz w:val="20"/>
          <w:szCs w:val="20"/>
          <w:lang w:val="en-GB" w:eastAsia="fi-FI"/>
        </w:rPr>
        <w:t xml:space="preserve"> and to reduce its negative impacts</w:t>
      </w:r>
      <w:r w:rsidRPr="001F66E2">
        <w:rPr>
          <w:rFonts w:eastAsia="Times New Roman"/>
          <w:color w:val="222222"/>
          <w:sz w:val="20"/>
          <w:szCs w:val="20"/>
          <w:lang w:val="en-GB" w:eastAsia="fi-FI"/>
        </w:rPr>
        <w:t>.</w:t>
      </w:r>
      <w:r w:rsidR="00D9430D">
        <w:rPr>
          <w:rFonts w:eastAsia="Times New Roman"/>
          <w:color w:val="222222"/>
          <w:sz w:val="20"/>
          <w:szCs w:val="20"/>
          <w:lang w:val="en-GB" w:eastAsia="fi-FI"/>
        </w:rPr>
        <w:t xml:space="preserve"> </w:t>
      </w:r>
    </w:p>
    <w:p w14:paraId="6A29070D" w14:textId="77777777" w:rsidR="002B4435" w:rsidRPr="001F66E2" w:rsidRDefault="002B4435" w:rsidP="002B4435">
      <w:pPr>
        <w:spacing w:after="0" w:line="240" w:lineRule="auto"/>
        <w:jc w:val="both"/>
        <w:rPr>
          <w:rFonts w:eastAsia="Times New Roman"/>
          <w:color w:val="222222"/>
          <w:szCs w:val="24"/>
          <w:lang w:val="en-GB" w:eastAsia="fi-FI"/>
        </w:rPr>
      </w:pPr>
      <w:r w:rsidRPr="001F66E2">
        <w:rPr>
          <w:rFonts w:eastAsia="Times New Roman"/>
          <w:color w:val="222222"/>
          <w:sz w:val="20"/>
          <w:szCs w:val="20"/>
          <w:lang w:val="en-GB" w:eastAsia="fi-FI"/>
        </w:rPr>
        <w:t> </w:t>
      </w:r>
    </w:p>
    <w:p w14:paraId="14284DD4" w14:textId="1D7FE48D" w:rsidR="00B255D6" w:rsidRPr="00D1693E" w:rsidRDefault="002B4435" w:rsidP="002B4435">
      <w:pPr>
        <w:spacing w:after="0" w:line="240" w:lineRule="auto"/>
        <w:jc w:val="both"/>
        <w:rPr>
          <w:rFonts w:eastAsia="Times New Roman"/>
          <w:color w:val="222222"/>
          <w:szCs w:val="24"/>
          <w:lang w:val="en-GB" w:eastAsia="fi-FI"/>
        </w:rPr>
      </w:pPr>
      <w:r>
        <w:rPr>
          <w:rFonts w:eastAsia="Times New Roman"/>
          <w:color w:val="222222"/>
          <w:sz w:val="20"/>
          <w:szCs w:val="20"/>
          <w:lang w:val="en-GB" w:eastAsia="fi-FI"/>
        </w:rPr>
        <w:t xml:space="preserve">This study had some </w:t>
      </w:r>
      <w:r w:rsidRPr="001F66E2">
        <w:rPr>
          <w:rFonts w:eastAsia="Times New Roman"/>
          <w:color w:val="222222"/>
          <w:sz w:val="20"/>
          <w:szCs w:val="20"/>
          <w:lang w:val="en-GB" w:eastAsia="fi-FI"/>
        </w:rPr>
        <w:t>limitation</w:t>
      </w:r>
      <w:r>
        <w:rPr>
          <w:rFonts w:eastAsia="Times New Roman"/>
          <w:color w:val="222222"/>
          <w:sz w:val="20"/>
          <w:szCs w:val="20"/>
          <w:lang w:val="en-GB" w:eastAsia="fi-FI"/>
        </w:rPr>
        <w:t>s.</w:t>
      </w:r>
      <w:r w:rsidRPr="001F66E2">
        <w:rPr>
          <w:rFonts w:eastAsia="Times New Roman"/>
          <w:color w:val="222222"/>
          <w:sz w:val="20"/>
          <w:szCs w:val="20"/>
          <w:lang w:val="en-GB" w:eastAsia="fi-FI"/>
        </w:rPr>
        <w:t xml:space="preserve"> </w:t>
      </w:r>
      <w:r>
        <w:rPr>
          <w:rFonts w:eastAsia="Times New Roman"/>
          <w:color w:val="222222"/>
          <w:sz w:val="20"/>
          <w:szCs w:val="20"/>
          <w:lang w:val="en-GB" w:eastAsia="fi-FI"/>
        </w:rPr>
        <w:t xml:space="preserve">Firstly, it was </w:t>
      </w:r>
      <w:r w:rsidRPr="001F66E2">
        <w:rPr>
          <w:rFonts w:eastAsia="Times New Roman"/>
          <w:color w:val="222222"/>
          <w:sz w:val="20"/>
          <w:szCs w:val="20"/>
          <w:lang w:val="en-GB" w:eastAsia="fi-FI"/>
        </w:rPr>
        <w:t>limited to developing countries</w:t>
      </w:r>
      <w:r>
        <w:rPr>
          <w:rFonts w:eastAsia="Times New Roman"/>
          <w:color w:val="222222"/>
          <w:sz w:val="20"/>
          <w:szCs w:val="20"/>
          <w:lang w:val="en-GB" w:eastAsia="fi-FI"/>
        </w:rPr>
        <w:t>;</w:t>
      </w:r>
      <w:r w:rsidRPr="001F66E2">
        <w:rPr>
          <w:rFonts w:eastAsia="Times New Roman"/>
          <w:color w:val="222222"/>
          <w:sz w:val="20"/>
          <w:szCs w:val="20"/>
          <w:lang w:val="en-GB" w:eastAsia="fi-FI"/>
        </w:rPr>
        <w:t xml:space="preserve"> it could </w:t>
      </w:r>
      <w:r>
        <w:rPr>
          <w:rFonts w:eastAsia="Times New Roman"/>
          <w:color w:val="222222"/>
          <w:sz w:val="20"/>
          <w:szCs w:val="20"/>
          <w:lang w:val="en-GB" w:eastAsia="fi-FI"/>
        </w:rPr>
        <w:t xml:space="preserve">thus be </w:t>
      </w:r>
      <w:r w:rsidRPr="001F66E2">
        <w:rPr>
          <w:rFonts w:eastAsia="Times New Roman"/>
          <w:color w:val="222222"/>
          <w:sz w:val="20"/>
          <w:szCs w:val="20"/>
          <w:lang w:val="en-GB" w:eastAsia="fi-FI"/>
        </w:rPr>
        <w:t>replicate</w:t>
      </w:r>
      <w:r>
        <w:rPr>
          <w:rFonts w:eastAsia="Times New Roman"/>
          <w:color w:val="222222"/>
          <w:sz w:val="20"/>
          <w:szCs w:val="20"/>
          <w:lang w:val="en-GB" w:eastAsia="fi-FI"/>
        </w:rPr>
        <w:t>d</w:t>
      </w:r>
      <w:r w:rsidRPr="001F66E2">
        <w:rPr>
          <w:rFonts w:eastAsia="Times New Roman"/>
          <w:color w:val="222222"/>
          <w:sz w:val="20"/>
          <w:szCs w:val="20"/>
          <w:lang w:val="en-GB" w:eastAsia="fi-FI"/>
        </w:rPr>
        <w:t xml:space="preserve"> in a developed country context with a large sample. Second</w:t>
      </w:r>
      <w:r>
        <w:rPr>
          <w:rFonts w:eastAsia="Times New Roman"/>
          <w:color w:val="222222"/>
          <w:sz w:val="20"/>
          <w:szCs w:val="20"/>
          <w:lang w:val="en-GB" w:eastAsia="fi-FI"/>
        </w:rPr>
        <w:t>ly</w:t>
      </w:r>
      <w:r w:rsidRPr="001F66E2">
        <w:rPr>
          <w:rFonts w:eastAsia="Times New Roman"/>
          <w:color w:val="222222"/>
          <w:sz w:val="20"/>
          <w:szCs w:val="20"/>
          <w:lang w:val="en-GB" w:eastAsia="fi-FI"/>
        </w:rPr>
        <w:t xml:space="preserve">, </w:t>
      </w:r>
      <w:r>
        <w:rPr>
          <w:rFonts w:eastAsia="Times New Roman"/>
          <w:color w:val="222222"/>
          <w:sz w:val="20"/>
          <w:szCs w:val="20"/>
          <w:lang w:val="en-GB" w:eastAsia="fi-FI"/>
        </w:rPr>
        <w:t xml:space="preserve">the </w:t>
      </w:r>
      <w:r w:rsidRPr="001F66E2">
        <w:rPr>
          <w:rFonts w:eastAsia="Times New Roman"/>
          <w:color w:val="222222"/>
          <w:sz w:val="20"/>
          <w:szCs w:val="20"/>
          <w:lang w:val="en-GB" w:eastAsia="fi-FI"/>
        </w:rPr>
        <w:t xml:space="preserve">study </w:t>
      </w:r>
      <w:r>
        <w:rPr>
          <w:rFonts w:eastAsia="Times New Roman"/>
          <w:color w:val="222222"/>
          <w:sz w:val="20"/>
          <w:szCs w:val="20"/>
          <w:lang w:val="en-GB" w:eastAsia="fi-FI"/>
        </w:rPr>
        <w:t xml:space="preserve">did </w:t>
      </w:r>
      <w:r w:rsidRPr="001F66E2">
        <w:rPr>
          <w:rFonts w:eastAsia="Times New Roman"/>
          <w:color w:val="222222"/>
          <w:sz w:val="20"/>
          <w:szCs w:val="20"/>
          <w:lang w:val="en-GB" w:eastAsia="fi-FI"/>
        </w:rPr>
        <w:t xml:space="preserve">not examine the gender (male vs female) differences </w:t>
      </w:r>
      <w:r>
        <w:rPr>
          <w:rFonts w:eastAsia="Times New Roman"/>
          <w:color w:val="222222"/>
          <w:sz w:val="20"/>
          <w:szCs w:val="20"/>
          <w:lang w:val="en-GB" w:eastAsia="fi-FI"/>
        </w:rPr>
        <w:t xml:space="preserve">in </w:t>
      </w:r>
      <w:r w:rsidRPr="001F66E2">
        <w:rPr>
          <w:rFonts w:eastAsia="Times New Roman"/>
          <w:color w:val="222222"/>
          <w:sz w:val="20"/>
          <w:szCs w:val="20"/>
          <w:lang w:val="en-GB" w:eastAsia="fi-FI"/>
        </w:rPr>
        <w:t xml:space="preserve">community participation in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forums. Third</w:t>
      </w:r>
      <w:r>
        <w:rPr>
          <w:rFonts w:eastAsia="Times New Roman"/>
          <w:color w:val="222222"/>
          <w:sz w:val="20"/>
          <w:szCs w:val="20"/>
          <w:lang w:val="en-GB" w:eastAsia="fi-FI"/>
        </w:rPr>
        <w:t>ly</w:t>
      </w:r>
      <w:r w:rsidRPr="001F66E2">
        <w:rPr>
          <w:rFonts w:eastAsia="Times New Roman"/>
          <w:color w:val="222222"/>
          <w:sz w:val="20"/>
          <w:szCs w:val="20"/>
          <w:lang w:val="en-GB" w:eastAsia="fi-FI"/>
        </w:rPr>
        <w:t xml:space="preserve">, </w:t>
      </w:r>
      <w:r>
        <w:rPr>
          <w:rFonts w:eastAsia="Times New Roman"/>
          <w:color w:val="222222"/>
          <w:sz w:val="20"/>
          <w:szCs w:val="20"/>
          <w:lang w:val="en-GB" w:eastAsia="fi-FI"/>
        </w:rPr>
        <w:t xml:space="preserve">the </w:t>
      </w:r>
      <w:r w:rsidRPr="001F66E2">
        <w:rPr>
          <w:rFonts w:eastAsia="Times New Roman"/>
          <w:color w:val="222222"/>
          <w:sz w:val="20"/>
          <w:szCs w:val="20"/>
          <w:lang w:val="en-GB" w:eastAsia="fi-FI"/>
        </w:rPr>
        <w:t xml:space="preserve">study </w:t>
      </w:r>
      <w:r>
        <w:rPr>
          <w:rFonts w:eastAsia="Times New Roman"/>
          <w:color w:val="222222"/>
          <w:sz w:val="20"/>
          <w:szCs w:val="20"/>
          <w:lang w:val="en-GB" w:eastAsia="fi-FI"/>
        </w:rPr>
        <w:t xml:space="preserve">did </w:t>
      </w:r>
      <w:r w:rsidRPr="001F66E2">
        <w:rPr>
          <w:rFonts w:eastAsia="Times New Roman"/>
          <w:color w:val="222222"/>
          <w:sz w:val="20"/>
          <w:szCs w:val="20"/>
          <w:lang w:val="en-GB" w:eastAsia="fi-FI"/>
        </w:rPr>
        <w:t xml:space="preserve">not explore the effects of </w:t>
      </w:r>
      <w:r>
        <w:rPr>
          <w:rFonts w:eastAsia="Times New Roman"/>
          <w:color w:val="222222"/>
          <w:sz w:val="20"/>
          <w:szCs w:val="20"/>
          <w:lang w:val="en-GB" w:eastAsia="fi-FI"/>
        </w:rPr>
        <w:t>social media</w:t>
      </w:r>
      <w:r w:rsidRPr="001F66E2">
        <w:rPr>
          <w:rFonts w:eastAsia="Times New Roman"/>
          <w:color w:val="222222"/>
          <w:sz w:val="20"/>
          <w:szCs w:val="20"/>
          <w:lang w:val="en-GB" w:eastAsia="fi-FI"/>
        </w:rPr>
        <w:t xml:space="preserve"> brand community participation on consumer intention to</w:t>
      </w:r>
      <w:r>
        <w:rPr>
          <w:rFonts w:eastAsia="Times New Roman"/>
          <w:color w:val="222222"/>
          <w:sz w:val="20"/>
          <w:szCs w:val="20"/>
          <w:lang w:val="en-GB" w:eastAsia="fi-FI"/>
        </w:rPr>
        <w:t xml:space="preserve"> engage in</w:t>
      </w:r>
      <w:r w:rsidRPr="001F66E2">
        <w:rPr>
          <w:rFonts w:eastAsia="Times New Roman"/>
          <w:color w:val="222222"/>
          <w:sz w:val="20"/>
          <w:szCs w:val="20"/>
          <w:lang w:val="en-GB" w:eastAsia="fi-FI"/>
        </w:rPr>
        <w:t xml:space="preserve"> consumer incivility for the purpose o</w:t>
      </w:r>
      <w:r>
        <w:rPr>
          <w:rFonts w:eastAsia="Times New Roman"/>
          <w:color w:val="222222"/>
          <w:sz w:val="20"/>
          <w:szCs w:val="20"/>
          <w:lang w:val="en-GB" w:eastAsia="fi-FI"/>
        </w:rPr>
        <w:t>f</w:t>
      </w:r>
      <w:r w:rsidRPr="001F66E2">
        <w:rPr>
          <w:rFonts w:eastAsia="Times New Roman"/>
          <w:color w:val="222222"/>
          <w:sz w:val="20"/>
          <w:szCs w:val="20"/>
          <w:lang w:val="en-GB" w:eastAsia="fi-FI"/>
        </w:rPr>
        <w:t xml:space="preserve"> minimi</w:t>
      </w:r>
      <w:r>
        <w:rPr>
          <w:rFonts w:eastAsia="Times New Roman"/>
          <w:color w:val="222222"/>
          <w:sz w:val="20"/>
          <w:szCs w:val="20"/>
          <w:lang w:val="en-GB" w:eastAsia="fi-FI"/>
        </w:rPr>
        <w:t>sing</w:t>
      </w:r>
      <w:r w:rsidRPr="001F66E2">
        <w:rPr>
          <w:rFonts w:eastAsia="Times New Roman"/>
          <w:color w:val="222222"/>
          <w:sz w:val="20"/>
          <w:szCs w:val="20"/>
          <w:lang w:val="en-GB" w:eastAsia="fi-FI"/>
        </w:rPr>
        <w:t xml:space="preserve"> consumer incivility intention rather than just </w:t>
      </w:r>
      <w:r>
        <w:rPr>
          <w:rFonts w:eastAsia="Times New Roman"/>
          <w:color w:val="222222"/>
          <w:sz w:val="20"/>
          <w:szCs w:val="20"/>
          <w:lang w:val="en-GB" w:eastAsia="fi-FI"/>
        </w:rPr>
        <w:t xml:space="preserve">dealing with uncivil </w:t>
      </w:r>
      <w:r w:rsidRPr="001F66E2">
        <w:rPr>
          <w:rFonts w:eastAsia="Times New Roman"/>
          <w:color w:val="222222"/>
          <w:sz w:val="20"/>
          <w:szCs w:val="20"/>
          <w:lang w:val="en-GB" w:eastAsia="fi-FI"/>
        </w:rPr>
        <w:t>behaviours</w:t>
      </w:r>
      <w:r>
        <w:rPr>
          <w:rFonts w:eastAsia="Times New Roman"/>
          <w:color w:val="222222"/>
          <w:sz w:val="20"/>
          <w:szCs w:val="20"/>
          <w:lang w:val="en-GB" w:eastAsia="fi-FI"/>
        </w:rPr>
        <w:t xml:space="preserve"> when they have already occurred</w:t>
      </w:r>
      <w:r w:rsidRPr="001F66E2">
        <w:rPr>
          <w:rFonts w:eastAsia="Times New Roman"/>
          <w:color w:val="222222"/>
          <w:sz w:val="20"/>
          <w:szCs w:val="20"/>
          <w:lang w:val="en-GB" w:eastAsia="fi-FI"/>
        </w:rPr>
        <w:t>.</w:t>
      </w:r>
      <w:r>
        <w:rPr>
          <w:rFonts w:eastAsia="Times New Roman"/>
          <w:color w:val="222222"/>
          <w:sz w:val="20"/>
          <w:szCs w:val="20"/>
          <w:lang w:val="en-GB" w:eastAsia="fi-FI"/>
        </w:rPr>
        <w:t xml:space="preserve"> </w:t>
      </w:r>
    </w:p>
    <w:p w14:paraId="693E7C81" w14:textId="22FD7ABA" w:rsidR="00B255D6" w:rsidRPr="0047532A" w:rsidRDefault="00B255D6" w:rsidP="0047532A">
      <w:pPr>
        <w:pStyle w:val="NoSpacing"/>
        <w:jc w:val="center"/>
        <w:rPr>
          <w:b/>
          <w:bCs/>
          <w:sz w:val="20"/>
          <w:szCs w:val="20"/>
        </w:rPr>
      </w:pPr>
    </w:p>
    <w:p w14:paraId="3A82D442" w14:textId="77777777" w:rsidR="00B255D6" w:rsidRPr="0016687F" w:rsidRDefault="00B255D6" w:rsidP="0047532A">
      <w:pPr>
        <w:pStyle w:val="NoSpacing"/>
        <w:jc w:val="center"/>
        <w:rPr>
          <w:b/>
          <w:bCs/>
          <w:sz w:val="20"/>
          <w:szCs w:val="20"/>
        </w:rPr>
      </w:pPr>
      <w:r w:rsidRPr="0016687F">
        <w:rPr>
          <w:b/>
          <w:bCs/>
          <w:sz w:val="20"/>
          <w:szCs w:val="20"/>
        </w:rPr>
        <w:t>REFERENCES</w:t>
      </w:r>
    </w:p>
    <w:p w14:paraId="716C1613" w14:textId="77777777" w:rsidR="009A6BEB" w:rsidRPr="009A6BEB" w:rsidRDefault="009A6BEB" w:rsidP="009A6BEB">
      <w:pPr>
        <w:pStyle w:val="NormalWeb"/>
        <w:rPr>
          <w:sz w:val="20"/>
          <w:szCs w:val="20"/>
        </w:rPr>
      </w:pPr>
      <w:proofErr w:type="spellStart"/>
      <w:r w:rsidRPr="009A6BEB">
        <w:rPr>
          <w:sz w:val="20"/>
          <w:szCs w:val="20"/>
        </w:rPr>
        <w:t>Algharabat</w:t>
      </w:r>
      <w:proofErr w:type="spellEnd"/>
      <w:r w:rsidRPr="009A6BEB">
        <w:rPr>
          <w:sz w:val="20"/>
          <w:szCs w:val="20"/>
        </w:rPr>
        <w:t xml:space="preserve">, R., Rana, N. P., </w:t>
      </w:r>
      <w:proofErr w:type="spellStart"/>
      <w:r w:rsidRPr="009A6BEB">
        <w:rPr>
          <w:sz w:val="20"/>
          <w:szCs w:val="20"/>
        </w:rPr>
        <w:t>Alalwan</w:t>
      </w:r>
      <w:proofErr w:type="spellEnd"/>
      <w:r w:rsidRPr="009A6BEB">
        <w:rPr>
          <w:sz w:val="20"/>
          <w:szCs w:val="20"/>
        </w:rPr>
        <w:t xml:space="preserve">, A. A., </w:t>
      </w:r>
      <w:proofErr w:type="spellStart"/>
      <w:r w:rsidRPr="009A6BEB">
        <w:rPr>
          <w:sz w:val="20"/>
          <w:szCs w:val="20"/>
        </w:rPr>
        <w:t>Baabdullah</w:t>
      </w:r>
      <w:proofErr w:type="spellEnd"/>
      <w:r w:rsidRPr="009A6BEB">
        <w:rPr>
          <w:sz w:val="20"/>
          <w:szCs w:val="20"/>
        </w:rPr>
        <w:t>, A., &amp; Gupta, A. (2020). Investigating the antecedents of customer brand engagement and consumer-based brand equity in social media. </w:t>
      </w:r>
      <w:r w:rsidRPr="009A6BEB">
        <w:rPr>
          <w:i/>
          <w:iCs/>
          <w:sz w:val="20"/>
          <w:szCs w:val="20"/>
        </w:rPr>
        <w:t>Journal of Retailing and Consumer Services</w:t>
      </w:r>
      <w:r w:rsidRPr="009A6BEB">
        <w:rPr>
          <w:sz w:val="20"/>
          <w:szCs w:val="20"/>
        </w:rPr>
        <w:t>, </w:t>
      </w:r>
      <w:r w:rsidRPr="009A6BEB">
        <w:rPr>
          <w:i/>
          <w:iCs/>
          <w:sz w:val="20"/>
          <w:szCs w:val="20"/>
        </w:rPr>
        <w:t>53</w:t>
      </w:r>
      <w:r w:rsidRPr="009A6BEB">
        <w:rPr>
          <w:sz w:val="20"/>
          <w:szCs w:val="20"/>
        </w:rPr>
        <w:t xml:space="preserve">, 1-13. </w:t>
      </w:r>
      <w:hyperlink r:id="rId12" w:tgtFrame="_blank" w:tooltip="Persistent link using digital object identifier" w:history="1">
        <w:r w:rsidRPr="009A6BEB">
          <w:rPr>
            <w:rStyle w:val="Hyperlink"/>
            <w:sz w:val="20"/>
            <w:szCs w:val="20"/>
          </w:rPr>
          <w:t>https://doi.org/10.1016/j.jretconser.2019.01.016</w:t>
        </w:r>
      </w:hyperlink>
      <w:r w:rsidRPr="009A6BEB">
        <w:rPr>
          <w:sz w:val="20"/>
          <w:szCs w:val="20"/>
          <w:u w:val="single"/>
        </w:rPr>
        <w:t xml:space="preserve"> </w:t>
      </w:r>
    </w:p>
    <w:p w14:paraId="5A97DA66" w14:textId="77777777" w:rsidR="009A6BEB" w:rsidRPr="009A6BEB" w:rsidRDefault="009A6BEB" w:rsidP="009A6BEB">
      <w:pPr>
        <w:pStyle w:val="NormalWeb"/>
        <w:rPr>
          <w:sz w:val="20"/>
          <w:szCs w:val="20"/>
        </w:rPr>
      </w:pPr>
      <w:proofErr w:type="spellStart"/>
      <w:r w:rsidRPr="009A6BEB">
        <w:rPr>
          <w:sz w:val="20"/>
          <w:szCs w:val="20"/>
        </w:rPr>
        <w:t>Bacile</w:t>
      </w:r>
      <w:proofErr w:type="spellEnd"/>
      <w:r w:rsidRPr="009A6BEB">
        <w:rPr>
          <w:sz w:val="20"/>
          <w:szCs w:val="20"/>
        </w:rPr>
        <w:t>, T. J., Wolter, J. S., Allen, A. M., &amp; Xu, P. (2018). The effects of online incivility and consumer-to-consumer interactional justice on complainants, observers, and service providers during social media service recovery. </w:t>
      </w:r>
      <w:r w:rsidRPr="009A6BEB">
        <w:rPr>
          <w:i/>
          <w:iCs/>
          <w:sz w:val="20"/>
          <w:szCs w:val="20"/>
        </w:rPr>
        <w:t>Journal of Interactive Marketing</w:t>
      </w:r>
      <w:r w:rsidRPr="009A6BEB">
        <w:rPr>
          <w:sz w:val="20"/>
          <w:szCs w:val="20"/>
        </w:rPr>
        <w:t>, </w:t>
      </w:r>
      <w:r w:rsidRPr="009A6BEB">
        <w:rPr>
          <w:i/>
          <w:iCs/>
          <w:sz w:val="20"/>
          <w:szCs w:val="20"/>
        </w:rPr>
        <w:t>44</w:t>
      </w:r>
      <w:r w:rsidRPr="009A6BEB">
        <w:rPr>
          <w:sz w:val="20"/>
          <w:szCs w:val="20"/>
        </w:rPr>
        <w:t xml:space="preserve">, 60-81. </w:t>
      </w:r>
      <w:hyperlink r:id="rId13" w:tgtFrame="_blank" w:tooltip="Persistent link using digital object identifier" w:history="1">
        <w:r w:rsidRPr="009A6BEB">
          <w:rPr>
            <w:rStyle w:val="Hyperlink"/>
            <w:sz w:val="20"/>
            <w:szCs w:val="20"/>
          </w:rPr>
          <w:t>https://doi.org/10.1016/j.intmar.2018.04.002</w:t>
        </w:r>
      </w:hyperlink>
      <w:r w:rsidRPr="009A6BEB">
        <w:rPr>
          <w:sz w:val="20"/>
          <w:szCs w:val="20"/>
        </w:rPr>
        <w:t xml:space="preserve"> </w:t>
      </w:r>
    </w:p>
    <w:p w14:paraId="0EA272DE" w14:textId="77777777" w:rsidR="009A6BEB" w:rsidRPr="009A6BEB" w:rsidRDefault="009A6BEB" w:rsidP="009A6BEB">
      <w:pPr>
        <w:pStyle w:val="NormalWeb"/>
        <w:rPr>
          <w:sz w:val="20"/>
          <w:szCs w:val="20"/>
        </w:rPr>
      </w:pPr>
      <w:r w:rsidRPr="009A6BEB">
        <w:rPr>
          <w:sz w:val="20"/>
          <w:szCs w:val="20"/>
        </w:rPr>
        <w:t>Bauman, S., Toomey, R. B., &amp; Walker, J. L. (2013). Associations among bullying, cyberbullying, and suicide in high school students. </w:t>
      </w:r>
      <w:r w:rsidRPr="009A6BEB">
        <w:rPr>
          <w:i/>
          <w:iCs/>
          <w:sz w:val="20"/>
          <w:szCs w:val="20"/>
        </w:rPr>
        <w:t>Journal of Adolescence</w:t>
      </w:r>
      <w:r w:rsidRPr="009A6BEB">
        <w:rPr>
          <w:sz w:val="20"/>
          <w:szCs w:val="20"/>
        </w:rPr>
        <w:t>, </w:t>
      </w:r>
      <w:r w:rsidRPr="009A6BEB">
        <w:rPr>
          <w:i/>
          <w:iCs/>
          <w:sz w:val="20"/>
          <w:szCs w:val="20"/>
        </w:rPr>
        <w:t>36</w:t>
      </w:r>
      <w:r w:rsidRPr="009A6BEB">
        <w:rPr>
          <w:sz w:val="20"/>
          <w:szCs w:val="20"/>
        </w:rPr>
        <w:t xml:space="preserve">(2), 341-350. </w:t>
      </w:r>
      <w:hyperlink r:id="rId14" w:tgtFrame="_blank" w:tooltip="Persistent link using digital object identifier" w:history="1">
        <w:r w:rsidRPr="009A6BEB">
          <w:rPr>
            <w:rStyle w:val="Hyperlink"/>
            <w:sz w:val="20"/>
            <w:szCs w:val="20"/>
          </w:rPr>
          <w:t>https://doi.org/10.1016/j.adolescence.2012.12.001</w:t>
        </w:r>
      </w:hyperlink>
      <w:r w:rsidRPr="009A6BEB">
        <w:rPr>
          <w:sz w:val="20"/>
          <w:szCs w:val="20"/>
        </w:rPr>
        <w:t xml:space="preserve"> </w:t>
      </w:r>
    </w:p>
    <w:p w14:paraId="091D7323" w14:textId="77777777" w:rsidR="009A6BEB" w:rsidRPr="009A6BEB" w:rsidRDefault="009A6BEB" w:rsidP="009A6BEB">
      <w:pPr>
        <w:pStyle w:val="NormalWeb"/>
        <w:rPr>
          <w:sz w:val="20"/>
          <w:szCs w:val="20"/>
        </w:rPr>
      </w:pPr>
      <w:r w:rsidRPr="009A6BEB">
        <w:rPr>
          <w:sz w:val="20"/>
          <w:szCs w:val="20"/>
        </w:rPr>
        <w:lastRenderedPageBreak/>
        <w:t>Brackett, M. A., &amp; Mayer, J. D. (2003). Convergent, discriminant, and incremental validity of competing measures of emotional intelligence. </w:t>
      </w:r>
      <w:r w:rsidRPr="009A6BEB">
        <w:rPr>
          <w:i/>
          <w:iCs/>
          <w:sz w:val="20"/>
          <w:szCs w:val="20"/>
        </w:rPr>
        <w:t>Personality and Social Psychology Bulletin</w:t>
      </w:r>
      <w:r w:rsidRPr="009A6BEB">
        <w:rPr>
          <w:sz w:val="20"/>
          <w:szCs w:val="20"/>
        </w:rPr>
        <w:t>, </w:t>
      </w:r>
      <w:r w:rsidRPr="009A6BEB">
        <w:rPr>
          <w:i/>
          <w:iCs/>
          <w:sz w:val="20"/>
          <w:szCs w:val="20"/>
        </w:rPr>
        <w:t>29</w:t>
      </w:r>
      <w:r w:rsidRPr="009A6BEB">
        <w:rPr>
          <w:sz w:val="20"/>
          <w:szCs w:val="20"/>
        </w:rPr>
        <w:t xml:space="preserve">(9), 1147-1158.  </w:t>
      </w:r>
      <w:hyperlink r:id="rId15" w:history="1">
        <w:r w:rsidRPr="009A6BEB">
          <w:rPr>
            <w:rStyle w:val="Hyperlink"/>
            <w:sz w:val="20"/>
            <w:szCs w:val="20"/>
          </w:rPr>
          <w:t>https://doi.org/10.1177/0146167203254596</w:t>
        </w:r>
      </w:hyperlink>
      <w:r w:rsidRPr="009A6BEB">
        <w:rPr>
          <w:sz w:val="20"/>
          <w:szCs w:val="20"/>
        </w:rPr>
        <w:t xml:space="preserve"> </w:t>
      </w:r>
    </w:p>
    <w:p w14:paraId="49D6B9F1" w14:textId="77777777" w:rsidR="009A6BEB" w:rsidRPr="009A6BEB" w:rsidRDefault="009A6BEB" w:rsidP="009A6BEB">
      <w:pPr>
        <w:pStyle w:val="NormalWeb"/>
        <w:rPr>
          <w:sz w:val="20"/>
          <w:szCs w:val="20"/>
        </w:rPr>
      </w:pPr>
      <w:r w:rsidRPr="009A6BEB">
        <w:rPr>
          <w:sz w:val="20"/>
          <w:szCs w:val="20"/>
        </w:rPr>
        <w:t xml:space="preserve">Calder, B. J., Phillips, L. W., &amp; </w:t>
      </w:r>
      <w:proofErr w:type="spellStart"/>
      <w:r w:rsidRPr="009A6BEB">
        <w:rPr>
          <w:sz w:val="20"/>
          <w:szCs w:val="20"/>
        </w:rPr>
        <w:t>Tybout</w:t>
      </w:r>
      <w:proofErr w:type="spellEnd"/>
      <w:r w:rsidRPr="009A6BEB">
        <w:rPr>
          <w:sz w:val="20"/>
          <w:szCs w:val="20"/>
        </w:rPr>
        <w:t>, A. M. (1981). Designing research for application. </w:t>
      </w:r>
      <w:r w:rsidRPr="009A6BEB">
        <w:rPr>
          <w:i/>
          <w:iCs/>
          <w:sz w:val="20"/>
          <w:szCs w:val="20"/>
        </w:rPr>
        <w:t>Journal of Consumer Research</w:t>
      </w:r>
      <w:r w:rsidRPr="009A6BEB">
        <w:rPr>
          <w:sz w:val="20"/>
          <w:szCs w:val="20"/>
        </w:rPr>
        <w:t>, </w:t>
      </w:r>
      <w:r w:rsidRPr="009A6BEB">
        <w:rPr>
          <w:i/>
          <w:iCs/>
          <w:sz w:val="20"/>
          <w:szCs w:val="20"/>
        </w:rPr>
        <w:t>8</w:t>
      </w:r>
      <w:r w:rsidRPr="009A6BEB">
        <w:rPr>
          <w:sz w:val="20"/>
          <w:szCs w:val="20"/>
        </w:rPr>
        <w:t xml:space="preserve">(2), 197-207. </w:t>
      </w:r>
      <w:hyperlink r:id="rId16" w:history="1">
        <w:r w:rsidRPr="009A6BEB">
          <w:rPr>
            <w:rStyle w:val="Hyperlink"/>
            <w:sz w:val="20"/>
            <w:szCs w:val="20"/>
          </w:rPr>
          <w:t>https://doi.org/10.1086/208856</w:t>
        </w:r>
      </w:hyperlink>
    </w:p>
    <w:p w14:paraId="4DA81D2E" w14:textId="77777777" w:rsidR="009A6BEB" w:rsidRPr="009A6BEB" w:rsidRDefault="009A6BEB" w:rsidP="009A6BEB">
      <w:pPr>
        <w:pStyle w:val="NormalWeb"/>
        <w:spacing w:line="240" w:lineRule="auto"/>
        <w:rPr>
          <w:sz w:val="20"/>
          <w:szCs w:val="20"/>
          <w:lang w:val="en-GB"/>
        </w:rPr>
      </w:pPr>
      <w:proofErr w:type="spellStart"/>
      <w:r w:rsidRPr="009A6BEB">
        <w:rPr>
          <w:sz w:val="20"/>
          <w:szCs w:val="20"/>
        </w:rPr>
        <w:t>Casaló</w:t>
      </w:r>
      <w:proofErr w:type="spellEnd"/>
      <w:r w:rsidRPr="009A6BEB">
        <w:rPr>
          <w:sz w:val="20"/>
          <w:szCs w:val="20"/>
        </w:rPr>
        <w:t xml:space="preserve">, L. V., </w:t>
      </w:r>
      <w:proofErr w:type="spellStart"/>
      <w:r w:rsidRPr="009A6BEB">
        <w:rPr>
          <w:sz w:val="20"/>
          <w:szCs w:val="20"/>
        </w:rPr>
        <w:t>Flavián</w:t>
      </w:r>
      <w:proofErr w:type="spellEnd"/>
      <w:r w:rsidRPr="009A6BEB">
        <w:rPr>
          <w:sz w:val="20"/>
          <w:szCs w:val="20"/>
        </w:rPr>
        <w:t xml:space="preserve">, C., &amp; </w:t>
      </w:r>
      <w:proofErr w:type="spellStart"/>
      <w:r w:rsidRPr="009A6BEB">
        <w:rPr>
          <w:sz w:val="20"/>
          <w:szCs w:val="20"/>
        </w:rPr>
        <w:t>Guinalíu</w:t>
      </w:r>
      <w:proofErr w:type="spellEnd"/>
      <w:r w:rsidRPr="009A6BEB">
        <w:rPr>
          <w:sz w:val="20"/>
          <w:szCs w:val="20"/>
        </w:rPr>
        <w:t>, M. (2008). Promoting consumer's participation in virtual brand communities: A new paradigm in branding strategy. </w:t>
      </w:r>
      <w:r w:rsidRPr="009A6BEB">
        <w:rPr>
          <w:i/>
          <w:iCs/>
          <w:sz w:val="20"/>
          <w:szCs w:val="20"/>
        </w:rPr>
        <w:t>Journal of Marketing Communications</w:t>
      </w:r>
      <w:r w:rsidRPr="009A6BEB">
        <w:rPr>
          <w:sz w:val="20"/>
          <w:szCs w:val="20"/>
        </w:rPr>
        <w:t>, </w:t>
      </w:r>
      <w:r w:rsidRPr="009A6BEB">
        <w:rPr>
          <w:i/>
          <w:iCs/>
          <w:sz w:val="20"/>
          <w:szCs w:val="20"/>
        </w:rPr>
        <w:t>14</w:t>
      </w:r>
      <w:r w:rsidRPr="009A6BEB">
        <w:rPr>
          <w:sz w:val="20"/>
          <w:szCs w:val="20"/>
        </w:rPr>
        <w:t xml:space="preserve">(1), 19-36.  </w:t>
      </w:r>
      <w:hyperlink r:id="rId17" w:history="1">
        <w:r w:rsidRPr="009A6BEB">
          <w:rPr>
            <w:rStyle w:val="Hyperlink"/>
            <w:sz w:val="20"/>
            <w:szCs w:val="20"/>
            <w:lang w:val="en-GB"/>
          </w:rPr>
          <w:t>https://doi.org/10.1080/13527260701535236</w:t>
        </w:r>
      </w:hyperlink>
    </w:p>
    <w:p w14:paraId="45744441" w14:textId="77777777" w:rsidR="009A6BEB" w:rsidRPr="009A6BEB" w:rsidRDefault="009A6BEB" w:rsidP="009A6BEB">
      <w:pPr>
        <w:pStyle w:val="NormalWeb"/>
        <w:rPr>
          <w:sz w:val="20"/>
          <w:szCs w:val="20"/>
          <w:lang w:val="en-GB"/>
        </w:rPr>
      </w:pPr>
      <w:r w:rsidRPr="009A6BEB">
        <w:rPr>
          <w:sz w:val="20"/>
          <w:szCs w:val="20"/>
        </w:rPr>
        <w:t>Chaudhuri, A., &amp; Holbrook, M. B. (2001). The chain of effects from brand trust and brand affect to brand performance: the role of brand loyalty. </w:t>
      </w:r>
      <w:r w:rsidRPr="009A6BEB">
        <w:rPr>
          <w:i/>
          <w:iCs/>
          <w:sz w:val="20"/>
          <w:szCs w:val="20"/>
        </w:rPr>
        <w:t>Journal of Marketing</w:t>
      </w:r>
      <w:r w:rsidRPr="009A6BEB">
        <w:rPr>
          <w:sz w:val="20"/>
          <w:szCs w:val="20"/>
        </w:rPr>
        <w:t>, </w:t>
      </w:r>
      <w:r w:rsidRPr="009A6BEB">
        <w:rPr>
          <w:i/>
          <w:iCs/>
          <w:sz w:val="20"/>
          <w:szCs w:val="20"/>
        </w:rPr>
        <w:t>65</w:t>
      </w:r>
      <w:r w:rsidRPr="009A6BEB">
        <w:rPr>
          <w:sz w:val="20"/>
          <w:szCs w:val="20"/>
        </w:rPr>
        <w:t xml:space="preserve">(2), 81-93. </w:t>
      </w:r>
      <w:hyperlink r:id="rId18" w:history="1">
        <w:r w:rsidRPr="009A6BEB">
          <w:rPr>
            <w:rStyle w:val="Hyperlink"/>
            <w:sz w:val="20"/>
            <w:szCs w:val="20"/>
            <w:lang w:val="en-GB"/>
          </w:rPr>
          <w:t>https://doi.org/10.1509/jmkg.65.2.81.18255</w:t>
        </w:r>
      </w:hyperlink>
      <w:r w:rsidRPr="009A6BEB">
        <w:rPr>
          <w:sz w:val="20"/>
          <w:szCs w:val="20"/>
          <w:lang w:val="en-GB"/>
        </w:rPr>
        <w:t xml:space="preserve"> </w:t>
      </w:r>
    </w:p>
    <w:p w14:paraId="186B4396" w14:textId="77777777" w:rsidR="009A6BEB" w:rsidRPr="009A6BEB" w:rsidRDefault="009A6BEB" w:rsidP="009A6BEB">
      <w:pPr>
        <w:pStyle w:val="NormalWeb"/>
        <w:rPr>
          <w:sz w:val="20"/>
          <w:szCs w:val="20"/>
        </w:rPr>
      </w:pPr>
      <w:r w:rsidRPr="009A6BEB">
        <w:rPr>
          <w:sz w:val="20"/>
          <w:szCs w:val="20"/>
          <w:lang w:val="en-GB"/>
        </w:rPr>
        <w:t xml:space="preserve">Chen, C. D., &amp; Ku, E. C. (2013). </w:t>
      </w:r>
      <w:r w:rsidRPr="009A6BEB">
        <w:rPr>
          <w:sz w:val="20"/>
          <w:szCs w:val="20"/>
        </w:rPr>
        <w:t>Bridging indistinct relationships and online loyalty: evidence from online interest-based communities. </w:t>
      </w:r>
      <w:r w:rsidRPr="009A6BEB">
        <w:rPr>
          <w:i/>
          <w:iCs/>
          <w:sz w:val="20"/>
          <w:szCs w:val="20"/>
        </w:rPr>
        <w:t>Online Information Review, 37</w:t>
      </w:r>
      <w:r w:rsidRPr="009A6BEB">
        <w:rPr>
          <w:sz w:val="20"/>
          <w:szCs w:val="20"/>
        </w:rPr>
        <w:t xml:space="preserve">(5), 731-751. </w:t>
      </w:r>
      <w:hyperlink r:id="rId19" w:tooltip="DOI: https://doi.org/10.1108/OIR-01-2011-0220" w:history="1">
        <w:r w:rsidRPr="009A6BEB">
          <w:rPr>
            <w:rStyle w:val="Hyperlink"/>
            <w:sz w:val="20"/>
            <w:szCs w:val="20"/>
          </w:rPr>
          <w:t>https://doi.org/10.1108/OIR-01-2011-0220</w:t>
        </w:r>
      </w:hyperlink>
      <w:r w:rsidRPr="009A6BEB">
        <w:rPr>
          <w:sz w:val="20"/>
          <w:szCs w:val="20"/>
        </w:rPr>
        <w:t xml:space="preserve"> </w:t>
      </w:r>
    </w:p>
    <w:p w14:paraId="660CA064" w14:textId="77777777" w:rsidR="009A6BEB" w:rsidRPr="009A6BEB" w:rsidRDefault="009A6BEB" w:rsidP="009A6BEB">
      <w:pPr>
        <w:pStyle w:val="NormalWeb"/>
        <w:rPr>
          <w:sz w:val="20"/>
          <w:szCs w:val="20"/>
        </w:rPr>
      </w:pPr>
      <w:r w:rsidRPr="009A6BEB">
        <w:rPr>
          <w:sz w:val="20"/>
          <w:szCs w:val="20"/>
        </w:rPr>
        <w:t>Chin, W. W. (1998). The partial least squares approach to structural equation modeling. </w:t>
      </w:r>
      <w:r w:rsidRPr="009A6BEB">
        <w:rPr>
          <w:i/>
          <w:iCs/>
          <w:sz w:val="20"/>
          <w:szCs w:val="20"/>
        </w:rPr>
        <w:t>Modern Methods for Business Research</w:t>
      </w:r>
      <w:r w:rsidRPr="009A6BEB">
        <w:rPr>
          <w:sz w:val="20"/>
          <w:szCs w:val="20"/>
        </w:rPr>
        <w:t>, </w:t>
      </w:r>
      <w:r w:rsidRPr="009A6BEB">
        <w:rPr>
          <w:i/>
          <w:iCs/>
          <w:sz w:val="20"/>
          <w:szCs w:val="20"/>
        </w:rPr>
        <w:t>295</w:t>
      </w:r>
      <w:r w:rsidRPr="009A6BEB">
        <w:rPr>
          <w:sz w:val="20"/>
          <w:szCs w:val="20"/>
        </w:rPr>
        <w:t>(2), 295-336.</w:t>
      </w:r>
    </w:p>
    <w:p w14:paraId="0D720070" w14:textId="77777777" w:rsidR="009A6BEB" w:rsidRPr="009A6BEB" w:rsidRDefault="009A6BEB" w:rsidP="009A6BEB">
      <w:pPr>
        <w:pStyle w:val="NormalWeb"/>
        <w:rPr>
          <w:sz w:val="20"/>
          <w:szCs w:val="20"/>
        </w:rPr>
      </w:pPr>
      <w:r w:rsidRPr="009A6BEB">
        <w:rPr>
          <w:sz w:val="20"/>
          <w:szCs w:val="20"/>
        </w:rPr>
        <w:t>Chin, W. W. (2010). How to write up and report PLS analyses. In </w:t>
      </w:r>
      <w:r w:rsidRPr="009A6BEB">
        <w:rPr>
          <w:i/>
          <w:iCs/>
          <w:sz w:val="20"/>
          <w:szCs w:val="20"/>
        </w:rPr>
        <w:t>Handbook of partial least squares</w:t>
      </w:r>
      <w:r w:rsidRPr="009A6BEB">
        <w:rPr>
          <w:sz w:val="20"/>
          <w:szCs w:val="20"/>
        </w:rPr>
        <w:t> (pp. 655-690). Springer, Berlin, Heidelberg.</w:t>
      </w:r>
    </w:p>
    <w:p w14:paraId="69876F93" w14:textId="37FAAFA0" w:rsidR="009A6BEB" w:rsidRPr="009A6BEB" w:rsidRDefault="009A6BEB" w:rsidP="009A6BEB">
      <w:pPr>
        <w:pStyle w:val="NormalWeb"/>
        <w:rPr>
          <w:sz w:val="20"/>
          <w:szCs w:val="20"/>
        </w:rPr>
      </w:pPr>
      <w:r w:rsidRPr="009A6BEB">
        <w:rPr>
          <w:sz w:val="20"/>
          <w:szCs w:val="20"/>
        </w:rPr>
        <w:t>Cohen, J. (1988). The effect size. </w:t>
      </w:r>
      <w:r w:rsidRPr="009A6BEB">
        <w:rPr>
          <w:i/>
          <w:iCs/>
          <w:sz w:val="20"/>
          <w:szCs w:val="20"/>
        </w:rPr>
        <w:t>Statistical power analysis for the behavioral sciences</w:t>
      </w:r>
      <w:r w:rsidRPr="009A6BEB">
        <w:rPr>
          <w:sz w:val="20"/>
          <w:szCs w:val="20"/>
        </w:rPr>
        <w:t>, 77-83.</w:t>
      </w:r>
      <w:r w:rsidR="00911030">
        <w:rPr>
          <w:sz w:val="20"/>
          <w:szCs w:val="20"/>
        </w:rPr>
        <w:t xml:space="preserve"> </w:t>
      </w:r>
      <w:r w:rsidR="00911030" w:rsidRPr="00911030">
        <w:rPr>
          <w:sz w:val="20"/>
          <w:szCs w:val="20"/>
        </w:rPr>
        <w:t>Lawrence Erlbaum Associates</w:t>
      </w:r>
    </w:p>
    <w:p w14:paraId="0BD03EA9" w14:textId="1B44369D" w:rsidR="009A6BEB" w:rsidRPr="009A6BEB" w:rsidRDefault="009A6BEB" w:rsidP="009A6BEB">
      <w:pPr>
        <w:pStyle w:val="NormalWeb"/>
        <w:rPr>
          <w:sz w:val="20"/>
          <w:szCs w:val="20"/>
        </w:rPr>
      </w:pPr>
      <w:r w:rsidRPr="009A6BEB">
        <w:rPr>
          <w:sz w:val="20"/>
          <w:szCs w:val="20"/>
        </w:rPr>
        <w:t xml:space="preserve">De Matos, C. A., Rossi, C. A. V., </w:t>
      </w:r>
      <w:proofErr w:type="spellStart"/>
      <w:r w:rsidRPr="009A6BEB">
        <w:rPr>
          <w:sz w:val="20"/>
          <w:szCs w:val="20"/>
        </w:rPr>
        <w:t>Veiga</w:t>
      </w:r>
      <w:proofErr w:type="spellEnd"/>
      <w:r w:rsidRPr="009A6BEB">
        <w:rPr>
          <w:sz w:val="20"/>
          <w:szCs w:val="20"/>
        </w:rPr>
        <w:t>, R. T., &amp; Vieira, V. A. (2009). Consumer reaction to service failure and recovery: the moderating role of attitude toward complaining. </w:t>
      </w:r>
      <w:r w:rsidRPr="009A6BEB">
        <w:rPr>
          <w:i/>
          <w:iCs/>
          <w:sz w:val="20"/>
          <w:szCs w:val="20"/>
        </w:rPr>
        <w:t>Journal of Services Marketing, 23(</w:t>
      </w:r>
      <w:r w:rsidRPr="009A6BEB">
        <w:rPr>
          <w:sz w:val="20"/>
          <w:szCs w:val="20"/>
        </w:rPr>
        <w:t xml:space="preserve">7), 462-475. </w:t>
      </w:r>
      <w:hyperlink r:id="rId20" w:tooltip="DOI: https://doi.org/10.1108/08876040910995257" w:history="1">
        <w:r w:rsidRPr="009A6BEB">
          <w:rPr>
            <w:rStyle w:val="Hyperlink"/>
            <w:sz w:val="20"/>
            <w:szCs w:val="20"/>
          </w:rPr>
          <w:t>https://doi.org/10.1108/08876040910995257</w:t>
        </w:r>
      </w:hyperlink>
    </w:p>
    <w:p w14:paraId="4F008E38" w14:textId="77777777" w:rsidR="009A6BEB" w:rsidRPr="009A6BEB" w:rsidRDefault="009A6BEB" w:rsidP="009A6BEB">
      <w:pPr>
        <w:pStyle w:val="NormalWeb"/>
        <w:spacing w:line="240" w:lineRule="auto"/>
        <w:rPr>
          <w:sz w:val="20"/>
          <w:szCs w:val="20"/>
          <w:lang w:val="en-GB"/>
        </w:rPr>
      </w:pPr>
      <w:proofErr w:type="spellStart"/>
      <w:r w:rsidRPr="009A6BEB">
        <w:rPr>
          <w:sz w:val="20"/>
          <w:szCs w:val="20"/>
        </w:rPr>
        <w:t>Dessart</w:t>
      </w:r>
      <w:proofErr w:type="spellEnd"/>
      <w:r w:rsidRPr="009A6BEB">
        <w:rPr>
          <w:sz w:val="20"/>
          <w:szCs w:val="20"/>
        </w:rPr>
        <w:t xml:space="preserve">, L., </w:t>
      </w:r>
      <w:proofErr w:type="spellStart"/>
      <w:r w:rsidRPr="009A6BEB">
        <w:rPr>
          <w:sz w:val="20"/>
          <w:szCs w:val="20"/>
        </w:rPr>
        <w:t>Veloutsou</w:t>
      </w:r>
      <w:proofErr w:type="spellEnd"/>
      <w:r w:rsidRPr="009A6BEB">
        <w:rPr>
          <w:sz w:val="20"/>
          <w:szCs w:val="20"/>
        </w:rPr>
        <w:t>, C., &amp; Morgan-Thomas, A. (2016). Capturing consumer engagement: duality, dimensionality and measurement. </w:t>
      </w:r>
      <w:r w:rsidRPr="009A6BEB">
        <w:rPr>
          <w:i/>
          <w:iCs/>
          <w:sz w:val="20"/>
          <w:szCs w:val="20"/>
        </w:rPr>
        <w:t>Journal of Marketing Management</w:t>
      </w:r>
      <w:r w:rsidRPr="009A6BEB">
        <w:rPr>
          <w:sz w:val="20"/>
          <w:szCs w:val="20"/>
        </w:rPr>
        <w:t>, </w:t>
      </w:r>
      <w:r w:rsidRPr="009A6BEB">
        <w:rPr>
          <w:i/>
          <w:iCs/>
          <w:sz w:val="20"/>
          <w:szCs w:val="20"/>
        </w:rPr>
        <w:t>32</w:t>
      </w:r>
      <w:r w:rsidRPr="009A6BEB">
        <w:rPr>
          <w:sz w:val="20"/>
          <w:szCs w:val="20"/>
        </w:rPr>
        <w:t xml:space="preserve">(5-6), 399-426. </w:t>
      </w:r>
      <w:hyperlink r:id="rId21" w:history="1">
        <w:r w:rsidRPr="009A6BEB">
          <w:rPr>
            <w:rStyle w:val="Hyperlink"/>
            <w:sz w:val="20"/>
            <w:szCs w:val="20"/>
            <w:lang w:val="en-GB"/>
          </w:rPr>
          <w:t>https://doi.org/10.1080/0267257X.2015.1130738</w:t>
        </w:r>
      </w:hyperlink>
      <w:r w:rsidRPr="009A6BEB">
        <w:rPr>
          <w:sz w:val="20"/>
          <w:szCs w:val="20"/>
        </w:rPr>
        <w:t xml:space="preserve"> </w:t>
      </w:r>
    </w:p>
    <w:p w14:paraId="635CD65B" w14:textId="77777777" w:rsidR="009A6BEB" w:rsidRPr="009A6BEB" w:rsidRDefault="009A6BEB" w:rsidP="009A6BEB">
      <w:pPr>
        <w:pStyle w:val="NormalWeb"/>
        <w:rPr>
          <w:sz w:val="20"/>
          <w:szCs w:val="20"/>
        </w:rPr>
      </w:pPr>
      <w:r w:rsidRPr="009A6BEB">
        <w:rPr>
          <w:sz w:val="20"/>
          <w:szCs w:val="20"/>
        </w:rPr>
        <w:t xml:space="preserve">Dwivedi, Y. K., </w:t>
      </w:r>
      <w:proofErr w:type="spellStart"/>
      <w:r w:rsidRPr="009A6BEB">
        <w:rPr>
          <w:sz w:val="20"/>
          <w:szCs w:val="20"/>
        </w:rPr>
        <w:t>Ismagilova</w:t>
      </w:r>
      <w:proofErr w:type="spellEnd"/>
      <w:r w:rsidRPr="009A6BEB">
        <w:rPr>
          <w:sz w:val="20"/>
          <w:szCs w:val="20"/>
        </w:rPr>
        <w:t xml:space="preserve">, E., Hughes, D. L., Carlson, J., </w:t>
      </w:r>
      <w:proofErr w:type="spellStart"/>
      <w:r w:rsidRPr="009A6BEB">
        <w:rPr>
          <w:sz w:val="20"/>
          <w:szCs w:val="20"/>
        </w:rPr>
        <w:t>Filieri</w:t>
      </w:r>
      <w:proofErr w:type="spellEnd"/>
      <w:r w:rsidRPr="009A6BEB">
        <w:rPr>
          <w:sz w:val="20"/>
          <w:szCs w:val="20"/>
        </w:rPr>
        <w:t>, R., Jacobson, J., ... &amp; Wang, Y. (2021). Setting the future of digital and social media marketing research: Perspectives and research propositions. </w:t>
      </w:r>
      <w:r w:rsidRPr="009A6BEB">
        <w:rPr>
          <w:i/>
          <w:iCs/>
          <w:sz w:val="20"/>
          <w:szCs w:val="20"/>
        </w:rPr>
        <w:t>International Journal of Information Management</w:t>
      </w:r>
      <w:r w:rsidRPr="009A6BEB">
        <w:rPr>
          <w:sz w:val="20"/>
          <w:szCs w:val="20"/>
        </w:rPr>
        <w:t>, </w:t>
      </w:r>
      <w:r w:rsidRPr="009A6BEB">
        <w:rPr>
          <w:i/>
          <w:iCs/>
          <w:sz w:val="20"/>
          <w:szCs w:val="20"/>
        </w:rPr>
        <w:t>59</w:t>
      </w:r>
      <w:r w:rsidRPr="009A6BEB">
        <w:rPr>
          <w:sz w:val="20"/>
          <w:szCs w:val="20"/>
        </w:rPr>
        <w:t xml:space="preserve">, 1-37. </w:t>
      </w:r>
      <w:hyperlink r:id="rId22" w:tgtFrame="_blank" w:tooltip="Persistent link using digital object identifier" w:history="1">
        <w:r w:rsidRPr="009A6BEB">
          <w:rPr>
            <w:rStyle w:val="Hyperlink"/>
            <w:sz w:val="20"/>
            <w:szCs w:val="20"/>
          </w:rPr>
          <w:t>https://doi.org/10.1016/j.ijinfomgt.2020.102168</w:t>
        </w:r>
      </w:hyperlink>
      <w:r w:rsidRPr="009A6BEB">
        <w:rPr>
          <w:sz w:val="20"/>
          <w:szCs w:val="20"/>
        </w:rPr>
        <w:t xml:space="preserve"> </w:t>
      </w:r>
    </w:p>
    <w:p w14:paraId="7B983CFE" w14:textId="72DA47C9" w:rsidR="009A6BEB" w:rsidRPr="009A6BEB" w:rsidRDefault="009A6BEB" w:rsidP="009A6BEB">
      <w:pPr>
        <w:pStyle w:val="NormalWeb"/>
        <w:rPr>
          <w:sz w:val="20"/>
          <w:szCs w:val="20"/>
        </w:rPr>
      </w:pPr>
      <w:r w:rsidRPr="009A6BEB">
        <w:rPr>
          <w:sz w:val="20"/>
          <w:szCs w:val="20"/>
        </w:rPr>
        <w:t>Field, A. (2013). </w:t>
      </w:r>
      <w:r w:rsidRPr="009A6BEB">
        <w:rPr>
          <w:i/>
          <w:iCs/>
          <w:sz w:val="20"/>
          <w:szCs w:val="20"/>
        </w:rPr>
        <w:t>Discovering statistics using IBM SPSS statistics</w:t>
      </w:r>
      <w:r w:rsidRPr="009A6BEB">
        <w:rPr>
          <w:sz w:val="20"/>
          <w:szCs w:val="20"/>
        </w:rPr>
        <w:t xml:space="preserve">. </w:t>
      </w:r>
      <w:r w:rsidR="005557F4">
        <w:rPr>
          <w:sz w:val="20"/>
          <w:szCs w:val="20"/>
        </w:rPr>
        <w:t>S</w:t>
      </w:r>
      <w:r w:rsidRPr="009A6BEB">
        <w:rPr>
          <w:sz w:val="20"/>
          <w:szCs w:val="20"/>
        </w:rPr>
        <w:t>age.</w:t>
      </w:r>
      <w:r w:rsidR="00BB4DE5">
        <w:rPr>
          <w:sz w:val="20"/>
          <w:szCs w:val="20"/>
        </w:rPr>
        <w:t xml:space="preserve"> </w:t>
      </w:r>
    </w:p>
    <w:p w14:paraId="1A68D79C" w14:textId="77777777" w:rsidR="009A6BEB" w:rsidRPr="009A6BEB" w:rsidRDefault="009A6BEB" w:rsidP="009A6BEB">
      <w:pPr>
        <w:pStyle w:val="NormalWeb"/>
        <w:rPr>
          <w:sz w:val="20"/>
          <w:szCs w:val="20"/>
        </w:rPr>
      </w:pPr>
      <w:proofErr w:type="spellStart"/>
      <w:r w:rsidRPr="009A6BEB">
        <w:rPr>
          <w:sz w:val="20"/>
          <w:szCs w:val="20"/>
        </w:rPr>
        <w:t>Fornell</w:t>
      </w:r>
      <w:proofErr w:type="spellEnd"/>
      <w:r w:rsidRPr="009A6BEB">
        <w:rPr>
          <w:sz w:val="20"/>
          <w:szCs w:val="20"/>
        </w:rPr>
        <w:t xml:space="preserve">, C., &amp; </w:t>
      </w:r>
      <w:proofErr w:type="spellStart"/>
      <w:r w:rsidRPr="009A6BEB">
        <w:rPr>
          <w:sz w:val="20"/>
          <w:szCs w:val="20"/>
        </w:rPr>
        <w:t>Larcker</w:t>
      </w:r>
      <w:proofErr w:type="spellEnd"/>
      <w:r w:rsidRPr="009A6BEB">
        <w:rPr>
          <w:sz w:val="20"/>
          <w:szCs w:val="20"/>
        </w:rPr>
        <w:t>, D. F. (1981). Evaluating structural equation models with unobservable variables and measurement error. </w:t>
      </w:r>
      <w:r w:rsidRPr="009A6BEB">
        <w:rPr>
          <w:i/>
          <w:iCs/>
          <w:sz w:val="20"/>
          <w:szCs w:val="20"/>
        </w:rPr>
        <w:t>Journal of Marketing Research</w:t>
      </w:r>
      <w:r w:rsidRPr="009A6BEB">
        <w:rPr>
          <w:sz w:val="20"/>
          <w:szCs w:val="20"/>
        </w:rPr>
        <w:t>, </w:t>
      </w:r>
      <w:r w:rsidRPr="009A6BEB">
        <w:rPr>
          <w:i/>
          <w:iCs/>
          <w:sz w:val="20"/>
          <w:szCs w:val="20"/>
        </w:rPr>
        <w:t>18</w:t>
      </w:r>
      <w:r w:rsidRPr="009A6BEB">
        <w:rPr>
          <w:sz w:val="20"/>
          <w:szCs w:val="20"/>
        </w:rPr>
        <w:t xml:space="preserve">(1), 39-50. </w:t>
      </w:r>
      <w:hyperlink r:id="rId23" w:history="1">
        <w:r w:rsidRPr="009A6BEB">
          <w:rPr>
            <w:rStyle w:val="Hyperlink"/>
            <w:sz w:val="20"/>
            <w:szCs w:val="20"/>
          </w:rPr>
          <w:t>https://doi.org/10.1177/002224378101800104</w:t>
        </w:r>
      </w:hyperlink>
      <w:r w:rsidRPr="009A6BEB">
        <w:rPr>
          <w:sz w:val="20"/>
          <w:szCs w:val="20"/>
        </w:rPr>
        <w:t xml:space="preserve"> </w:t>
      </w:r>
    </w:p>
    <w:p w14:paraId="43242E8C" w14:textId="77777777" w:rsidR="009A6BEB" w:rsidRPr="009A6BEB" w:rsidRDefault="009A6BEB" w:rsidP="009A6BEB">
      <w:pPr>
        <w:pStyle w:val="NormalWeb"/>
        <w:rPr>
          <w:sz w:val="20"/>
          <w:szCs w:val="20"/>
        </w:rPr>
      </w:pPr>
      <w:r w:rsidRPr="009A6BEB">
        <w:rPr>
          <w:sz w:val="20"/>
          <w:szCs w:val="20"/>
        </w:rPr>
        <w:t xml:space="preserve">Hair Jr, J. F., </w:t>
      </w:r>
      <w:proofErr w:type="spellStart"/>
      <w:r w:rsidRPr="009A6BEB">
        <w:rPr>
          <w:sz w:val="20"/>
          <w:szCs w:val="20"/>
        </w:rPr>
        <w:t>Sarstedt</w:t>
      </w:r>
      <w:proofErr w:type="spellEnd"/>
      <w:r w:rsidRPr="009A6BEB">
        <w:rPr>
          <w:sz w:val="20"/>
          <w:szCs w:val="20"/>
        </w:rPr>
        <w:t xml:space="preserve">, M., Hopkins, L., &amp; </w:t>
      </w:r>
      <w:proofErr w:type="spellStart"/>
      <w:r w:rsidRPr="009A6BEB">
        <w:rPr>
          <w:sz w:val="20"/>
          <w:szCs w:val="20"/>
        </w:rPr>
        <w:t>Kuppelwieser</w:t>
      </w:r>
      <w:proofErr w:type="spellEnd"/>
      <w:r w:rsidRPr="009A6BEB">
        <w:rPr>
          <w:sz w:val="20"/>
          <w:szCs w:val="20"/>
        </w:rPr>
        <w:t>, V. G. (2014). Partial least squares structural equation modeling (PLS-SEM): An emerging tool in business research. </w:t>
      </w:r>
      <w:r w:rsidRPr="009A6BEB">
        <w:rPr>
          <w:i/>
          <w:iCs/>
          <w:sz w:val="20"/>
          <w:szCs w:val="20"/>
        </w:rPr>
        <w:t>European Business Review, 26(</w:t>
      </w:r>
      <w:r w:rsidRPr="009A6BEB">
        <w:rPr>
          <w:sz w:val="20"/>
          <w:szCs w:val="20"/>
        </w:rPr>
        <w:t xml:space="preserve">2), 106-121. </w:t>
      </w:r>
      <w:hyperlink r:id="rId24" w:tooltip="DOI: https://doi.org/10.1108/EBR-10-2013-0128" w:history="1">
        <w:r w:rsidRPr="009A6BEB">
          <w:rPr>
            <w:rStyle w:val="Hyperlink"/>
            <w:sz w:val="20"/>
            <w:szCs w:val="20"/>
          </w:rPr>
          <w:t>https://doi.org/10.1108/EBR-10-2013-0128</w:t>
        </w:r>
      </w:hyperlink>
      <w:r w:rsidRPr="009A6BEB">
        <w:rPr>
          <w:sz w:val="20"/>
          <w:szCs w:val="20"/>
        </w:rPr>
        <w:t xml:space="preserve"> </w:t>
      </w:r>
    </w:p>
    <w:p w14:paraId="3D335096" w14:textId="77777777" w:rsidR="009A6BEB" w:rsidRPr="009A6BEB" w:rsidRDefault="009A6BEB" w:rsidP="009A6BEB">
      <w:pPr>
        <w:pStyle w:val="NormalWeb"/>
        <w:spacing w:line="240" w:lineRule="auto"/>
        <w:rPr>
          <w:sz w:val="20"/>
          <w:szCs w:val="20"/>
          <w:lang w:val="en-GB"/>
        </w:rPr>
      </w:pPr>
      <w:r w:rsidRPr="009A6BEB">
        <w:rPr>
          <w:sz w:val="20"/>
          <w:szCs w:val="20"/>
        </w:rPr>
        <w:t xml:space="preserve">Hair, J. F., </w:t>
      </w:r>
      <w:proofErr w:type="spellStart"/>
      <w:r w:rsidRPr="009A6BEB">
        <w:rPr>
          <w:sz w:val="20"/>
          <w:szCs w:val="20"/>
        </w:rPr>
        <w:t>Ringle</w:t>
      </w:r>
      <w:proofErr w:type="spellEnd"/>
      <w:r w:rsidRPr="009A6BEB">
        <w:rPr>
          <w:sz w:val="20"/>
          <w:szCs w:val="20"/>
        </w:rPr>
        <w:t xml:space="preserve">, C. M., &amp; </w:t>
      </w:r>
      <w:proofErr w:type="spellStart"/>
      <w:r w:rsidRPr="009A6BEB">
        <w:rPr>
          <w:sz w:val="20"/>
          <w:szCs w:val="20"/>
        </w:rPr>
        <w:t>Sarstedt</w:t>
      </w:r>
      <w:proofErr w:type="spellEnd"/>
      <w:r w:rsidRPr="009A6BEB">
        <w:rPr>
          <w:sz w:val="20"/>
          <w:szCs w:val="20"/>
        </w:rPr>
        <w:t>, M. (2011). PLS-SEM: Indeed a silver bullet. </w:t>
      </w:r>
      <w:r w:rsidRPr="009A6BEB">
        <w:rPr>
          <w:i/>
          <w:iCs/>
          <w:sz w:val="20"/>
          <w:szCs w:val="20"/>
        </w:rPr>
        <w:t>Journal of Marketing Theory and Practice</w:t>
      </w:r>
      <w:r w:rsidRPr="009A6BEB">
        <w:rPr>
          <w:sz w:val="20"/>
          <w:szCs w:val="20"/>
        </w:rPr>
        <w:t>, </w:t>
      </w:r>
      <w:r w:rsidRPr="009A6BEB">
        <w:rPr>
          <w:i/>
          <w:iCs/>
          <w:sz w:val="20"/>
          <w:szCs w:val="20"/>
        </w:rPr>
        <w:t>19</w:t>
      </w:r>
      <w:r w:rsidRPr="009A6BEB">
        <w:rPr>
          <w:sz w:val="20"/>
          <w:szCs w:val="20"/>
        </w:rPr>
        <w:t xml:space="preserve">(2), 139-152. </w:t>
      </w:r>
      <w:hyperlink r:id="rId25" w:history="1">
        <w:r w:rsidRPr="009A6BEB">
          <w:rPr>
            <w:rStyle w:val="Hyperlink"/>
            <w:sz w:val="20"/>
            <w:szCs w:val="20"/>
            <w:lang w:val="en-GB"/>
          </w:rPr>
          <w:t>https://doi.org/10.2753/MTP1069-6679190202</w:t>
        </w:r>
      </w:hyperlink>
      <w:r w:rsidRPr="009A6BEB">
        <w:rPr>
          <w:sz w:val="20"/>
          <w:szCs w:val="20"/>
        </w:rPr>
        <w:t xml:space="preserve"> </w:t>
      </w:r>
    </w:p>
    <w:p w14:paraId="74A755B8" w14:textId="77777777" w:rsidR="009A6BEB" w:rsidRPr="009A6BEB" w:rsidRDefault="009A6BEB" w:rsidP="009A6BEB">
      <w:pPr>
        <w:pStyle w:val="NormalWeb"/>
        <w:rPr>
          <w:sz w:val="20"/>
          <w:szCs w:val="20"/>
        </w:rPr>
      </w:pPr>
      <w:proofErr w:type="spellStart"/>
      <w:r w:rsidRPr="009A6BEB">
        <w:rPr>
          <w:sz w:val="20"/>
          <w:szCs w:val="20"/>
        </w:rPr>
        <w:t>Heinonen</w:t>
      </w:r>
      <w:proofErr w:type="spellEnd"/>
      <w:r w:rsidRPr="009A6BEB">
        <w:rPr>
          <w:sz w:val="20"/>
          <w:szCs w:val="20"/>
        </w:rPr>
        <w:t>, K. (2017). Positive and negative valence influencing consumer engagement. </w:t>
      </w:r>
      <w:r w:rsidRPr="009A6BEB">
        <w:rPr>
          <w:i/>
          <w:iCs/>
          <w:sz w:val="20"/>
          <w:szCs w:val="20"/>
        </w:rPr>
        <w:t>Journal of Service Theory and Practice, 28</w:t>
      </w:r>
      <w:r w:rsidRPr="009A6BEB">
        <w:rPr>
          <w:sz w:val="20"/>
          <w:szCs w:val="20"/>
        </w:rPr>
        <w:t xml:space="preserve">(2), 147-169. </w:t>
      </w:r>
      <w:hyperlink r:id="rId26" w:tooltip="DOI: https://doi.org/10.1108/JSTP-02-2016-0020" w:history="1">
        <w:r w:rsidRPr="009A6BEB">
          <w:rPr>
            <w:rStyle w:val="Hyperlink"/>
            <w:sz w:val="20"/>
            <w:szCs w:val="20"/>
          </w:rPr>
          <w:t>https://doi.org/10.1108/JSTP-02-2016-0020</w:t>
        </w:r>
      </w:hyperlink>
      <w:r w:rsidRPr="009A6BEB">
        <w:rPr>
          <w:sz w:val="20"/>
          <w:szCs w:val="20"/>
        </w:rPr>
        <w:t xml:space="preserve"> </w:t>
      </w:r>
    </w:p>
    <w:p w14:paraId="52905BC5" w14:textId="77777777" w:rsidR="009A6BEB" w:rsidRPr="009A6BEB" w:rsidRDefault="009A6BEB" w:rsidP="009A6BEB">
      <w:pPr>
        <w:pStyle w:val="NormalWeb"/>
        <w:rPr>
          <w:sz w:val="20"/>
          <w:szCs w:val="20"/>
        </w:rPr>
      </w:pPr>
      <w:r w:rsidRPr="009A6BEB">
        <w:rPr>
          <w:sz w:val="20"/>
          <w:szCs w:val="20"/>
        </w:rPr>
        <w:t xml:space="preserve">Henseler, J., </w:t>
      </w:r>
      <w:proofErr w:type="spellStart"/>
      <w:r w:rsidRPr="009A6BEB">
        <w:rPr>
          <w:sz w:val="20"/>
          <w:szCs w:val="20"/>
        </w:rPr>
        <w:t>Ringle</w:t>
      </w:r>
      <w:proofErr w:type="spellEnd"/>
      <w:r w:rsidRPr="009A6BEB">
        <w:rPr>
          <w:sz w:val="20"/>
          <w:szCs w:val="20"/>
        </w:rPr>
        <w:t xml:space="preserve">, C. M., &amp; </w:t>
      </w:r>
      <w:proofErr w:type="spellStart"/>
      <w:r w:rsidRPr="009A6BEB">
        <w:rPr>
          <w:sz w:val="20"/>
          <w:szCs w:val="20"/>
        </w:rPr>
        <w:t>Sarstedt</w:t>
      </w:r>
      <w:proofErr w:type="spellEnd"/>
      <w:r w:rsidRPr="009A6BEB">
        <w:rPr>
          <w:sz w:val="20"/>
          <w:szCs w:val="20"/>
        </w:rPr>
        <w:t>, M. (2015). A new criterion for assessing discriminant validity in variance-based structural equation modeling. </w:t>
      </w:r>
      <w:r w:rsidRPr="009A6BEB">
        <w:rPr>
          <w:i/>
          <w:iCs/>
          <w:sz w:val="20"/>
          <w:szCs w:val="20"/>
        </w:rPr>
        <w:t>Journal of the Academy of Marketing Science</w:t>
      </w:r>
      <w:r w:rsidRPr="009A6BEB">
        <w:rPr>
          <w:sz w:val="20"/>
          <w:szCs w:val="20"/>
        </w:rPr>
        <w:t>, </w:t>
      </w:r>
      <w:r w:rsidRPr="009A6BEB">
        <w:rPr>
          <w:i/>
          <w:iCs/>
          <w:sz w:val="20"/>
          <w:szCs w:val="20"/>
        </w:rPr>
        <w:t>43</w:t>
      </w:r>
      <w:r w:rsidRPr="009A6BEB">
        <w:rPr>
          <w:sz w:val="20"/>
          <w:szCs w:val="20"/>
        </w:rPr>
        <w:t xml:space="preserve">(1), 115-135. </w:t>
      </w:r>
      <w:hyperlink r:id="rId27" w:history="1">
        <w:r w:rsidRPr="009A6BEB">
          <w:rPr>
            <w:rStyle w:val="Hyperlink"/>
            <w:sz w:val="20"/>
            <w:szCs w:val="20"/>
          </w:rPr>
          <w:t>https://doi.org/10.1007/s11747-014-0403-8</w:t>
        </w:r>
      </w:hyperlink>
      <w:r w:rsidRPr="009A6BEB">
        <w:rPr>
          <w:sz w:val="20"/>
          <w:szCs w:val="20"/>
        </w:rPr>
        <w:t xml:space="preserve"> </w:t>
      </w:r>
    </w:p>
    <w:p w14:paraId="071D6C03" w14:textId="77777777" w:rsidR="009A6BEB" w:rsidRPr="009A6BEB" w:rsidRDefault="009A6BEB" w:rsidP="009A6BEB">
      <w:pPr>
        <w:pStyle w:val="NormalWeb"/>
        <w:rPr>
          <w:sz w:val="20"/>
          <w:szCs w:val="20"/>
        </w:rPr>
      </w:pPr>
      <w:r w:rsidRPr="009A6BEB">
        <w:rPr>
          <w:sz w:val="20"/>
          <w:szCs w:val="20"/>
        </w:rPr>
        <w:t xml:space="preserve">Henseler, J., </w:t>
      </w:r>
      <w:proofErr w:type="spellStart"/>
      <w:r w:rsidRPr="009A6BEB">
        <w:rPr>
          <w:sz w:val="20"/>
          <w:szCs w:val="20"/>
        </w:rPr>
        <w:t>Ringle</w:t>
      </w:r>
      <w:proofErr w:type="spellEnd"/>
      <w:r w:rsidRPr="009A6BEB">
        <w:rPr>
          <w:sz w:val="20"/>
          <w:szCs w:val="20"/>
        </w:rPr>
        <w:t xml:space="preserve">, C. M., &amp; </w:t>
      </w:r>
      <w:proofErr w:type="spellStart"/>
      <w:r w:rsidRPr="009A6BEB">
        <w:rPr>
          <w:sz w:val="20"/>
          <w:szCs w:val="20"/>
        </w:rPr>
        <w:t>Sinkovics</w:t>
      </w:r>
      <w:proofErr w:type="spellEnd"/>
      <w:r w:rsidRPr="009A6BEB">
        <w:rPr>
          <w:sz w:val="20"/>
          <w:szCs w:val="20"/>
        </w:rPr>
        <w:t xml:space="preserve">, R. R. (2009). The use of partial least squares path modeling in international marketing. </w:t>
      </w:r>
      <w:r w:rsidRPr="009A6BEB">
        <w:rPr>
          <w:i/>
          <w:iCs/>
          <w:sz w:val="20"/>
          <w:szCs w:val="20"/>
        </w:rPr>
        <w:t>New Challenges to International Marketing, 20,</w:t>
      </w:r>
      <w:r w:rsidRPr="009A6BEB">
        <w:rPr>
          <w:sz w:val="20"/>
          <w:szCs w:val="20"/>
        </w:rPr>
        <w:t xml:space="preserve"> 277-319. </w:t>
      </w:r>
      <w:hyperlink r:id="rId28" w:tooltip="DOI: https://doi.org/10.1108/S1474-7979(2009)0000020014" w:history="1">
        <w:r w:rsidRPr="009A6BEB">
          <w:rPr>
            <w:rStyle w:val="Hyperlink"/>
            <w:sz w:val="20"/>
            <w:szCs w:val="20"/>
          </w:rPr>
          <w:t>https://doi.org/10.1108/S1474-7979(2009)0000020014</w:t>
        </w:r>
      </w:hyperlink>
      <w:r w:rsidRPr="009A6BEB">
        <w:rPr>
          <w:sz w:val="20"/>
          <w:szCs w:val="20"/>
        </w:rPr>
        <w:t xml:space="preserve"> </w:t>
      </w:r>
    </w:p>
    <w:p w14:paraId="0EC56198" w14:textId="77777777" w:rsidR="009A6BEB" w:rsidRPr="009A6BEB" w:rsidRDefault="009A6BEB" w:rsidP="009A6BEB">
      <w:pPr>
        <w:pStyle w:val="NormalWeb"/>
        <w:rPr>
          <w:sz w:val="20"/>
          <w:szCs w:val="20"/>
        </w:rPr>
      </w:pPr>
      <w:proofErr w:type="spellStart"/>
      <w:r w:rsidRPr="009A6BEB">
        <w:rPr>
          <w:sz w:val="20"/>
          <w:szCs w:val="20"/>
        </w:rPr>
        <w:t>Hollebeek</w:t>
      </w:r>
      <w:proofErr w:type="spellEnd"/>
      <w:r w:rsidRPr="009A6BEB">
        <w:rPr>
          <w:sz w:val="20"/>
          <w:szCs w:val="20"/>
        </w:rPr>
        <w:t>, L. D., &amp; Chen, T. (2014). Exploring positively-versus negatively-</w:t>
      </w:r>
      <w:proofErr w:type="spellStart"/>
      <w:r w:rsidRPr="009A6BEB">
        <w:rPr>
          <w:sz w:val="20"/>
          <w:szCs w:val="20"/>
        </w:rPr>
        <w:t>valenced</w:t>
      </w:r>
      <w:proofErr w:type="spellEnd"/>
      <w:r w:rsidRPr="009A6BEB">
        <w:rPr>
          <w:sz w:val="20"/>
          <w:szCs w:val="20"/>
        </w:rPr>
        <w:t xml:space="preserve"> brand engagement: a conceptual model. </w:t>
      </w:r>
      <w:r w:rsidRPr="009A6BEB">
        <w:rPr>
          <w:i/>
          <w:iCs/>
          <w:sz w:val="20"/>
          <w:szCs w:val="20"/>
        </w:rPr>
        <w:t>Journal of Product &amp; Brand Management, 23(</w:t>
      </w:r>
      <w:r w:rsidRPr="009A6BEB">
        <w:rPr>
          <w:sz w:val="20"/>
          <w:szCs w:val="20"/>
        </w:rPr>
        <w:t xml:space="preserve">1), 62-74. </w:t>
      </w:r>
      <w:hyperlink r:id="rId29" w:tooltip="DOI: https://doi.org/10.1108/JPBM-06-2013-0332" w:history="1">
        <w:r w:rsidRPr="009A6BEB">
          <w:rPr>
            <w:rStyle w:val="Hyperlink"/>
            <w:sz w:val="20"/>
            <w:szCs w:val="20"/>
          </w:rPr>
          <w:t>https://doi.org/10.1108/JPBM-06-2013-0332</w:t>
        </w:r>
      </w:hyperlink>
      <w:r w:rsidRPr="009A6BEB">
        <w:rPr>
          <w:sz w:val="20"/>
          <w:szCs w:val="20"/>
        </w:rPr>
        <w:t xml:space="preserve"> </w:t>
      </w:r>
    </w:p>
    <w:p w14:paraId="453DC807" w14:textId="77777777" w:rsidR="009A6BEB" w:rsidRPr="009A6BEB" w:rsidRDefault="009A6BEB" w:rsidP="009A6BEB">
      <w:pPr>
        <w:pStyle w:val="NormalWeb"/>
        <w:rPr>
          <w:sz w:val="20"/>
          <w:szCs w:val="20"/>
        </w:rPr>
      </w:pPr>
      <w:r w:rsidRPr="009A6BEB">
        <w:rPr>
          <w:sz w:val="20"/>
          <w:szCs w:val="20"/>
        </w:rPr>
        <w:t xml:space="preserve">Hook, M., Baxter, S., &amp; </w:t>
      </w:r>
      <w:proofErr w:type="spellStart"/>
      <w:r w:rsidRPr="009A6BEB">
        <w:rPr>
          <w:sz w:val="20"/>
          <w:szCs w:val="20"/>
        </w:rPr>
        <w:t>Kulczynski</w:t>
      </w:r>
      <w:proofErr w:type="spellEnd"/>
      <w:r w:rsidRPr="009A6BEB">
        <w:rPr>
          <w:sz w:val="20"/>
          <w:szCs w:val="20"/>
        </w:rPr>
        <w:t>, A. (2018). Antecedents and consequences of participation in brand communities: A literature review. </w:t>
      </w:r>
      <w:r w:rsidRPr="009A6BEB">
        <w:rPr>
          <w:i/>
          <w:iCs/>
          <w:sz w:val="20"/>
          <w:szCs w:val="20"/>
        </w:rPr>
        <w:t>Journal of Brand Management</w:t>
      </w:r>
      <w:r w:rsidRPr="009A6BEB">
        <w:rPr>
          <w:sz w:val="20"/>
          <w:szCs w:val="20"/>
        </w:rPr>
        <w:t>, </w:t>
      </w:r>
      <w:r w:rsidRPr="009A6BEB">
        <w:rPr>
          <w:i/>
          <w:iCs/>
          <w:sz w:val="20"/>
          <w:szCs w:val="20"/>
        </w:rPr>
        <w:t>25</w:t>
      </w:r>
      <w:r w:rsidRPr="009A6BEB">
        <w:rPr>
          <w:sz w:val="20"/>
          <w:szCs w:val="20"/>
        </w:rPr>
        <w:t xml:space="preserve">(4), 277-292. </w:t>
      </w:r>
      <w:hyperlink r:id="rId30" w:history="1">
        <w:r w:rsidRPr="009A6BEB">
          <w:rPr>
            <w:rStyle w:val="Hyperlink"/>
            <w:sz w:val="20"/>
            <w:szCs w:val="20"/>
          </w:rPr>
          <w:t>https://doi.org/10.1057/s41262-017-0079-8</w:t>
        </w:r>
      </w:hyperlink>
      <w:r w:rsidRPr="009A6BEB">
        <w:rPr>
          <w:sz w:val="20"/>
          <w:szCs w:val="20"/>
        </w:rPr>
        <w:t xml:space="preserve"> </w:t>
      </w:r>
    </w:p>
    <w:p w14:paraId="6E2F9D24" w14:textId="77777777" w:rsidR="009A6BEB" w:rsidRPr="009A6BEB" w:rsidRDefault="009A6BEB" w:rsidP="009A6BEB">
      <w:pPr>
        <w:pStyle w:val="NormalWeb"/>
        <w:rPr>
          <w:sz w:val="20"/>
          <w:szCs w:val="20"/>
        </w:rPr>
      </w:pPr>
      <w:r w:rsidRPr="009A6BEB">
        <w:rPr>
          <w:sz w:val="20"/>
          <w:szCs w:val="20"/>
        </w:rPr>
        <w:t>Huang, W. H. (2008). The impact of other‐customer failure on service satisfaction. </w:t>
      </w:r>
      <w:r w:rsidRPr="009A6BEB">
        <w:rPr>
          <w:i/>
          <w:iCs/>
          <w:sz w:val="20"/>
          <w:szCs w:val="20"/>
        </w:rPr>
        <w:t>International Journal of Service Industry Management</w:t>
      </w:r>
      <w:r w:rsidRPr="009A6BEB">
        <w:rPr>
          <w:sz w:val="20"/>
          <w:szCs w:val="20"/>
        </w:rPr>
        <w:t>, </w:t>
      </w:r>
      <w:r w:rsidRPr="009A6BEB">
        <w:rPr>
          <w:i/>
          <w:iCs/>
          <w:sz w:val="20"/>
          <w:szCs w:val="20"/>
        </w:rPr>
        <w:t>19</w:t>
      </w:r>
      <w:r w:rsidRPr="009A6BEB">
        <w:rPr>
          <w:sz w:val="20"/>
          <w:szCs w:val="20"/>
        </w:rPr>
        <w:t xml:space="preserve">(4), 521-536. </w:t>
      </w:r>
      <w:hyperlink r:id="rId31" w:tooltip="DOI: https://doi.org/10.1108/09564230810891941" w:history="1">
        <w:r w:rsidRPr="009A6BEB">
          <w:rPr>
            <w:rStyle w:val="Hyperlink"/>
            <w:sz w:val="20"/>
            <w:szCs w:val="20"/>
          </w:rPr>
          <w:t>https://doi.org/10.1108/09564230810891941</w:t>
        </w:r>
      </w:hyperlink>
      <w:r w:rsidRPr="009A6BEB">
        <w:rPr>
          <w:sz w:val="20"/>
          <w:szCs w:val="20"/>
        </w:rPr>
        <w:t xml:space="preserve"> </w:t>
      </w:r>
    </w:p>
    <w:p w14:paraId="33AC5DCC" w14:textId="77777777" w:rsidR="009A6BEB" w:rsidRPr="009A6BEB" w:rsidRDefault="009A6BEB" w:rsidP="009A6BEB">
      <w:pPr>
        <w:pStyle w:val="NormalWeb"/>
        <w:rPr>
          <w:sz w:val="20"/>
          <w:szCs w:val="20"/>
        </w:rPr>
      </w:pPr>
      <w:r w:rsidRPr="009A6BEB">
        <w:rPr>
          <w:sz w:val="20"/>
          <w:szCs w:val="20"/>
        </w:rPr>
        <w:lastRenderedPageBreak/>
        <w:t>Huang, W. H. (2010). Other‐customer failure: Effects of perceived employee effort and compensation on complainer and non‐complainer service evaluations. </w:t>
      </w:r>
      <w:r w:rsidRPr="009A6BEB">
        <w:rPr>
          <w:i/>
          <w:iCs/>
          <w:sz w:val="20"/>
          <w:szCs w:val="20"/>
        </w:rPr>
        <w:t>Journal of Service Management, 21(</w:t>
      </w:r>
      <w:r w:rsidRPr="009A6BEB">
        <w:rPr>
          <w:sz w:val="20"/>
          <w:szCs w:val="20"/>
        </w:rPr>
        <w:t xml:space="preserve">2), 191-211. </w:t>
      </w:r>
      <w:hyperlink r:id="rId32" w:tooltip="DOI: https://doi.org/10.1108/09564231011039286" w:history="1">
        <w:r w:rsidRPr="009A6BEB">
          <w:rPr>
            <w:rStyle w:val="Hyperlink"/>
            <w:sz w:val="20"/>
            <w:szCs w:val="20"/>
          </w:rPr>
          <w:t>https://doi.org/10.1108/09564231011039286</w:t>
        </w:r>
      </w:hyperlink>
      <w:r w:rsidRPr="009A6BEB">
        <w:rPr>
          <w:sz w:val="20"/>
          <w:szCs w:val="20"/>
        </w:rPr>
        <w:t xml:space="preserve"> </w:t>
      </w:r>
    </w:p>
    <w:p w14:paraId="76972E5A" w14:textId="77777777" w:rsidR="009A6BEB" w:rsidRPr="009A6BEB" w:rsidRDefault="009A6BEB" w:rsidP="009A6BEB">
      <w:pPr>
        <w:pStyle w:val="NormalWeb"/>
        <w:rPr>
          <w:sz w:val="20"/>
          <w:szCs w:val="20"/>
        </w:rPr>
      </w:pPr>
      <w:r w:rsidRPr="009A6BEB">
        <w:rPr>
          <w:sz w:val="20"/>
          <w:szCs w:val="20"/>
        </w:rPr>
        <w:t>Huang, Y. S., Wei, S., &amp; Ang, T. (2022). The role of customer perceived ethicality in explaining the impact of incivility among employees on customer unethical behavior and customer citizenship behavior. </w:t>
      </w:r>
      <w:r w:rsidRPr="009A6BEB">
        <w:rPr>
          <w:i/>
          <w:iCs/>
          <w:sz w:val="20"/>
          <w:szCs w:val="20"/>
        </w:rPr>
        <w:t>Journal of Business Ethics</w:t>
      </w:r>
      <w:r w:rsidRPr="009A6BEB">
        <w:rPr>
          <w:sz w:val="20"/>
          <w:szCs w:val="20"/>
        </w:rPr>
        <w:t>, </w:t>
      </w:r>
      <w:r w:rsidRPr="009A6BEB">
        <w:rPr>
          <w:i/>
          <w:iCs/>
          <w:sz w:val="20"/>
          <w:szCs w:val="20"/>
        </w:rPr>
        <w:t>178</w:t>
      </w:r>
      <w:r w:rsidRPr="009A6BEB">
        <w:rPr>
          <w:sz w:val="20"/>
          <w:szCs w:val="20"/>
        </w:rPr>
        <w:t xml:space="preserve">(2), 519-535. </w:t>
      </w:r>
      <w:hyperlink r:id="rId33" w:history="1">
        <w:r w:rsidRPr="009A6BEB">
          <w:rPr>
            <w:rStyle w:val="Hyperlink"/>
            <w:sz w:val="20"/>
            <w:szCs w:val="20"/>
          </w:rPr>
          <w:t>https://doi.org/10.1007/s10551-020-04698-9</w:t>
        </w:r>
      </w:hyperlink>
      <w:r w:rsidRPr="009A6BEB">
        <w:rPr>
          <w:sz w:val="20"/>
          <w:szCs w:val="20"/>
        </w:rPr>
        <w:t xml:space="preserve"> </w:t>
      </w:r>
    </w:p>
    <w:p w14:paraId="20DA2B55" w14:textId="77777777" w:rsidR="009A6BEB" w:rsidRPr="009A6BEB" w:rsidRDefault="009A6BEB" w:rsidP="009A6BEB">
      <w:pPr>
        <w:pStyle w:val="NormalWeb"/>
        <w:rPr>
          <w:sz w:val="20"/>
          <w:szCs w:val="20"/>
          <w:lang w:val="en-GB"/>
        </w:rPr>
      </w:pPr>
      <w:proofErr w:type="spellStart"/>
      <w:r w:rsidRPr="009A6BEB">
        <w:rPr>
          <w:sz w:val="20"/>
          <w:szCs w:val="20"/>
        </w:rPr>
        <w:t>Hulland</w:t>
      </w:r>
      <w:proofErr w:type="spellEnd"/>
      <w:r w:rsidRPr="009A6BEB">
        <w:rPr>
          <w:sz w:val="20"/>
          <w:szCs w:val="20"/>
        </w:rPr>
        <w:t>, J. (1999). Use of partial least squares (PLS) in strategic management research: A review of four recent studies. </w:t>
      </w:r>
      <w:r w:rsidRPr="009A6BEB">
        <w:rPr>
          <w:i/>
          <w:iCs/>
          <w:sz w:val="20"/>
          <w:szCs w:val="20"/>
        </w:rPr>
        <w:t>Strategic Management Journal</w:t>
      </w:r>
      <w:r w:rsidRPr="009A6BEB">
        <w:rPr>
          <w:sz w:val="20"/>
          <w:szCs w:val="20"/>
        </w:rPr>
        <w:t>, </w:t>
      </w:r>
      <w:r w:rsidRPr="009A6BEB">
        <w:rPr>
          <w:i/>
          <w:iCs/>
          <w:sz w:val="20"/>
          <w:szCs w:val="20"/>
        </w:rPr>
        <w:t>20</w:t>
      </w:r>
      <w:r w:rsidRPr="009A6BEB">
        <w:rPr>
          <w:sz w:val="20"/>
          <w:szCs w:val="20"/>
        </w:rPr>
        <w:t xml:space="preserve">(2), 195-204. </w:t>
      </w:r>
      <w:hyperlink r:id="rId34" w:history="1">
        <w:r w:rsidRPr="009A6BEB">
          <w:rPr>
            <w:rStyle w:val="Hyperlink"/>
            <w:sz w:val="20"/>
            <w:szCs w:val="20"/>
            <w:lang w:val="en-GB"/>
          </w:rPr>
          <w:t>https://doi.org/10.1002/(SICI)1097-0266</w:t>
        </w:r>
      </w:hyperlink>
      <w:r w:rsidRPr="009A6BEB">
        <w:rPr>
          <w:sz w:val="20"/>
          <w:szCs w:val="20"/>
          <w:lang w:val="en-GB"/>
        </w:rPr>
        <w:t xml:space="preserve"> </w:t>
      </w:r>
    </w:p>
    <w:p w14:paraId="6CBD2070" w14:textId="77777777" w:rsidR="009A6BEB" w:rsidRPr="009A6BEB" w:rsidRDefault="009A6BEB" w:rsidP="009A6BEB">
      <w:pPr>
        <w:pStyle w:val="NormalWeb"/>
        <w:rPr>
          <w:sz w:val="20"/>
          <w:szCs w:val="20"/>
        </w:rPr>
      </w:pPr>
      <w:proofErr w:type="spellStart"/>
      <w:r w:rsidRPr="009A6BEB">
        <w:rPr>
          <w:sz w:val="20"/>
          <w:szCs w:val="20"/>
          <w:lang w:val="en-GB"/>
        </w:rPr>
        <w:t>Hur</w:t>
      </w:r>
      <w:proofErr w:type="spellEnd"/>
      <w:r w:rsidRPr="009A6BEB">
        <w:rPr>
          <w:sz w:val="20"/>
          <w:szCs w:val="20"/>
          <w:lang w:val="en-GB"/>
        </w:rPr>
        <w:t xml:space="preserve">, W. M., </w:t>
      </w:r>
      <w:proofErr w:type="spellStart"/>
      <w:r w:rsidRPr="009A6BEB">
        <w:rPr>
          <w:sz w:val="20"/>
          <w:szCs w:val="20"/>
          <w:lang w:val="en-GB"/>
        </w:rPr>
        <w:t>Ahn</w:t>
      </w:r>
      <w:proofErr w:type="spellEnd"/>
      <w:r w:rsidRPr="009A6BEB">
        <w:rPr>
          <w:sz w:val="20"/>
          <w:szCs w:val="20"/>
          <w:lang w:val="en-GB"/>
        </w:rPr>
        <w:t xml:space="preserve">, K. H., &amp; Kim, M. (2011). </w:t>
      </w:r>
      <w:r w:rsidRPr="009A6BEB">
        <w:rPr>
          <w:sz w:val="20"/>
          <w:szCs w:val="20"/>
        </w:rPr>
        <w:t>Building brand loyalty through managing brand community commitment. </w:t>
      </w:r>
      <w:r w:rsidRPr="009A6BEB">
        <w:rPr>
          <w:i/>
          <w:iCs/>
          <w:sz w:val="20"/>
          <w:szCs w:val="20"/>
        </w:rPr>
        <w:t>Management Decision, 49(</w:t>
      </w:r>
      <w:r w:rsidRPr="009A6BEB">
        <w:rPr>
          <w:sz w:val="20"/>
          <w:szCs w:val="20"/>
        </w:rPr>
        <w:t xml:space="preserve">7), 1194-1213. </w:t>
      </w:r>
      <w:hyperlink r:id="rId35" w:tooltip="DOI: https://doi.org/10.1108/00251741111151217" w:history="1">
        <w:r w:rsidRPr="009A6BEB">
          <w:rPr>
            <w:rStyle w:val="Hyperlink"/>
            <w:sz w:val="20"/>
            <w:szCs w:val="20"/>
          </w:rPr>
          <w:t>https://doi.org/10.1108/00251741111151217</w:t>
        </w:r>
      </w:hyperlink>
      <w:r w:rsidRPr="009A6BEB">
        <w:rPr>
          <w:sz w:val="20"/>
          <w:szCs w:val="20"/>
        </w:rPr>
        <w:t xml:space="preserve"> </w:t>
      </w:r>
    </w:p>
    <w:p w14:paraId="2E924A3F" w14:textId="630CB66D" w:rsidR="009A6BEB" w:rsidRPr="009A6BEB" w:rsidRDefault="009A6BEB" w:rsidP="009A6BEB">
      <w:pPr>
        <w:pStyle w:val="NormalWeb"/>
        <w:rPr>
          <w:sz w:val="20"/>
          <w:szCs w:val="20"/>
        </w:rPr>
      </w:pPr>
      <w:r w:rsidRPr="009A6BEB">
        <w:rPr>
          <w:sz w:val="20"/>
          <w:szCs w:val="20"/>
        </w:rPr>
        <w:t xml:space="preserve">Johnson, J. (2021). Cyber bullying - Statistics &amp; Facts. </w:t>
      </w:r>
      <w:r w:rsidR="000053FA" w:rsidRPr="000053FA">
        <w:rPr>
          <w:i/>
          <w:iCs/>
          <w:sz w:val="20"/>
          <w:szCs w:val="20"/>
        </w:rPr>
        <w:t>Statista</w:t>
      </w:r>
      <w:r w:rsidR="000053FA">
        <w:rPr>
          <w:sz w:val="20"/>
          <w:szCs w:val="20"/>
        </w:rPr>
        <w:t xml:space="preserve">. </w:t>
      </w:r>
      <w:r w:rsidRPr="009A6BEB">
        <w:rPr>
          <w:sz w:val="20"/>
          <w:szCs w:val="20"/>
        </w:rPr>
        <w:t xml:space="preserve">Retrieved from </w:t>
      </w:r>
      <w:hyperlink r:id="rId36" w:anchor="dossierKeyfigures" w:history="1">
        <w:r w:rsidRPr="009A6BEB">
          <w:rPr>
            <w:rStyle w:val="Hyperlink"/>
            <w:sz w:val="20"/>
            <w:szCs w:val="20"/>
          </w:rPr>
          <w:t>https://www.statista.com/topics/1809/cyber-bullying/#dossierKeyfigures</w:t>
        </w:r>
      </w:hyperlink>
      <w:r w:rsidRPr="009A6BEB">
        <w:rPr>
          <w:sz w:val="20"/>
          <w:szCs w:val="20"/>
        </w:rPr>
        <w:t xml:space="preserve"> (accessed 27 March 2022).</w:t>
      </w:r>
    </w:p>
    <w:p w14:paraId="3D37198B" w14:textId="77777777" w:rsidR="009A6BEB" w:rsidRPr="009A6BEB" w:rsidRDefault="009A6BEB" w:rsidP="009A6BEB">
      <w:pPr>
        <w:pStyle w:val="NormalWeb"/>
        <w:rPr>
          <w:b/>
          <w:bCs/>
          <w:sz w:val="20"/>
          <w:szCs w:val="20"/>
        </w:rPr>
      </w:pPr>
      <w:r w:rsidRPr="009A6BEB">
        <w:rPr>
          <w:sz w:val="20"/>
          <w:szCs w:val="20"/>
        </w:rPr>
        <w:t xml:space="preserve">Jung, J. H., </w:t>
      </w:r>
      <w:proofErr w:type="spellStart"/>
      <w:r w:rsidRPr="009A6BEB">
        <w:rPr>
          <w:sz w:val="20"/>
          <w:szCs w:val="20"/>
        </w:rPr>
        <w:t>Yoo</w:t>
      </w:r>
      <w:proofErr w:type="spellEnd"/>
      <w:r w:rsidRPr="009A6BEB">
        <w:rPr>
          <w:sz w:val="20"/>
          <w:szCs w:val="20"/>
        </w:rPr>
        <w:t>, J. J., &amp; Arnold, T. J. (2017). Service climate as a moderator of the effects of customer-to-customer interactions on customer support and service quality. </w:t>
      </w:r>
      <w:r w:rsidRPr="009A6BEB">
        <w:rPr>
          <w:i/>
          <w:iCs/>
          <w:sz w:val="20"/>
          <w:szCs w:val="20"/>
        </w:rPr>
        <w:t>Journal of Service Research</w:t>
      </w:r>
      <w:r w:rsidRPr="009A6BEB">
        <w:rPr>
          <w:sz w:val="20"/>
          <w:szCs w:val="20"/>
        </w:rPr>
        <w:t>, </w:t>
      </w:r>
      <w:r w:rsidRPr="009A6BEB">
        <w:rPr>
          <w:i/>
          <w:iCs/>
          <w:sz w:val="20"/>
          <w:szCs w:val="20"/>
        </w:rPr>
        <w:t>20</w:t>
      </w:r>
      <w:r w:rsidRPr="009A6BEB">
        <w:rPr>
          <w:sz w:val="20"/>
          <w:szCs w:val="20"/>
        </w:rPr>
        <w:t xml:space="preserve">(4), 426-440. </w:t>
      </w:r>
      <w:hyperlink r:id="rId37" w:history="1">
        <w:r w:rsidRPr="009A6BEB">
          <w:rPr>
            <w:rStyle w:val="Hyperlink"/>
            <w:sz w:val="20"/>
            <w:szCs w:val="20"/>
          </w:rPr>
          <w:t>https://doi.org/10.1177/1094670517714331</w:t>
        </w:r>
      </w:hyperlink>
      <w:r w:rsidRPr="009A6BEB">
        <w:rPr>
          <w:sz w:val="20"/>
          <w:szCs w:val="20"/>
        </w:rPr>
        <w:t xml:space="preserve"> </w:t>
      </w:r>
    </w:p>
    <w:p w14:paraId="05DBCE5A" w14:textId="77777777" w:rsidR="009A6BEB" w:rsidRPr="009A6BEB" w:rsidRDefault="009A6BEB" w:rsidP="009A6BEB">
      <w:pPr>
        <w:pStyle w:val="NormalWeb"/>
        <w:rPr>
          <w:sz w:val="20"/>
          <w:szCs w:val="20"/>
        </w:rPr>
      </w:pPr>
      <w:proofErr w:type="spellStart"/>
      <w:r w:rsidRPr="009A6BEB">
        <w:rPr>
          <w:sz w:val="20"/>
          <w:szCs w:val="20"/>
        </w:rPr>
        <w:t>Karatepe</w:t>
      </w:r>
      <w:proofErr w:type="spellEnd"/>
      <w:r w:rsidRPr="009A6BEB">
        <w:rPr>
          <w:sz w:val="20"/>
          <w:szCs w:val="20"/>
        </w:rPr>
        <w:t>, O. M. (2006). Customer complaints and organizational responses: the effects of complainants’ perceptions of justice on satisfaction and loyalty. </w:t>
      </w:r>
      <w:r w:rsidRPr="009A6BEB">
        <w:rPr>
          <w:i/>
          <w:iCs/>
          <w:sz w:val="20"/>
          <w:szCs w:val="20"/>
        </w:rPr>
        <w:t>International Journal of Hospitality Management</w:t>
      </w:r>
      <w:r w:rsidRPr="009A6BEB">
        <w:rPr>
          <w:sz w:val="20"/>
          <w:szCs w:val="20"/>
        </w:rPr>
        <w:t>, </w:t>
      </w:r>
      <w:r w:rsidRPr="009A6BEB">
        <w:rPr>
          <w:i/>
          <w:iCs/>
          <w:sz w:val="20"/>
          <w:szCs w:val="20"/>
        </w:rPr>
        <w:t>25</w:t>
      </w:r>
      <w:r w:rsidRPr="009A6BEB">
        <w:rPr>
          <w:sz w:val="20"/>
          <w:szCs w:val="20"/>
        </w:rPr>
        <w:t xml:space="preserve">(1), 69-90. </w:t>
      </w:r>
      <w:hyperlink r:id="rId38" w:tgtFrame="_blank" w:tooltip="Persistent link using digital object identifier" w:history="1">
        <w:r w:rsidRPr="009A6BEB">
          <w:rPr>
            <w:rStyle w:val="Hyperlink"/>
            <w:sz w:val="20"/>
            <w:szCs w:val="20"/>
          </w:rPr>
          <w:t>https://doi.org/10.1016/j.ijhm.2004.12.008</w:t>
        </w:r>
      </w:hyperlink>
      <w:r w:rsidRPr="009A6BEB">
        <w:rPr>
          <w:sz w:val="20"/>
          <w:szCs w:val="20"/>
        </w:rPr>
        <w:t xml:space="preserve"> </w:t>
      </w:r>
    </w:p>
    <w:p w14:paraId="5C8818E7" w14:textId="77777777" w:rsidR="009A6BEB" w:rsidRPr="009A6BEB" w:rsidRDefault="009A6BEB" w:rsidP="009A6BEB">
      <w:pPr>
        <w:pStyle w:val="NormalWeb"/>
        <w:rPr>
          <w:sz w:val="20"/>
          <w:szCs w:val="20"/>
        </w:rPr>
      </w:pPr>
      <w:r w:rsidRPr="009A6BEB">
        <w:rPr>
          <w:sz w:val="20"/>
          <w:szCs w:val="20"/>
        </w:rPr>
        <w:t>Kim, Y. A., &amp; Ahmad, M. A. (2013). Trust, distrust and lack of confidence of users in online social media-sharing communities. </w:t>
      </w:r>
      <w:r w:rsidRPr="009A6BEB">
        <w:rPr>
          <w:i/>
          <w:iCs/>
          <w:sz w:val="20"/>
          <w:szCs w:val="20"/>
        </w:rPr>
        <w:t>Knowledge-Based Systems</w:t>
      </w:r>
      <w:r w:rsidRPr="009A6BEB">
        <w:rPr>
          <w:sz w:val="20"/>
          <w:szCs w:val="20"/>
        </w:rPr>
        <w:t>, </w:t>
      </w:r>
      <w:r w:rsidRPr="009A6BEB">
        <w:rPr>
          <w:i/>
          <w:iCs/>
          <w:sz w:val="20"/>
          <w:szCs w:val="20"/>
        </w:rPr>
        <w:t>37</w:t>
      </w:r>
      <w:r w:rsidRPr="009A6BEB">
        <w:rPr>
          <w:sz w:val="20"/>
          <w:szCs w:val="20"/>
        </w:rPr>
        <w:t xml:space="preserve">, 438-450. </w:t>
      </w:r>
      <w:hyperlink r:id="rId39" w:tgtFrame="_blank" w:tooltip="Persistent link using digital object identifier" w:history="1">
        <w:r w:rsidRPr="009A6BEB">
          <w:rPr>
            <w:rStyle w:val="Hyperlink"/>
            <w:sz w:val="20"/>
            <w:szCs w:val="20"/>
          </w:rPr>
          <w:t>https://doi.org/10.1016/j.knosys.2012.09.002</w:t>
        </w:r>
      </w:hyperlink>
      <w:r w:rsidRPr="009A6BEB">
        <w:rPr>
          <w:sz w:val="20"/>
          <w:szCs w:val="20"/>
        </w:rPr>
        <w:t xml:space="preserve"> </w:t>
      </w:r>
    </w:p>
    <w:p w14:paraId="6C303753" w14:textId="7B08A43C" w:rsidR="009A6BEB" w:rsidRDefault="009A6BEB" w:rsidP="009A6BEB">
      <w:pPr>
        <w:pStyle w:val="NormalWeb"/>
        <w:rPr>
          <w:sz w:val="20"/>
          <w:szCs w:val="20"/>
        </w:rPr>
      </w:pPr>
      <w:r w:rsidRPr="009A6BEB">
        <w:rPr>
          <w:sz w:val="20"/>
          <w:szCs w:val="20"/>
        </w:rPr>
        <w:t>Maher, B. (2016). Can a video game company tame toxic behaviour? </w:t>
      </w:r>
      <w:r w:rsidRPr="009A6BEB">
        <w:rPr>
          <w:i/>
          <w:iCs/>
          <w:sz w:val="20"/>
          <w:szCs w:val="20"/>
        </w:rPr>
        <w:t>Nature</w:t>
      </w:r>
      <w:r w:rsidRPr="009A6BEB">
        <w:rPr>
          <w:sz w:val="20"/>
          <w:szCs w:val="20"/>
        </w:rPr>
        <w:t>, </w:t>
      </w:r>
      <w:r w:rsidRPr="009A6BEB">
        <w:rPr>
          <w:i/>
          <w:iCs/>
          <w:sz w:val="20"/>
          <w:szCs w:val="20"/>
        </w:rPr>
        <w:t>531</w:t>
      </w:r>
      <w:r w:rsidRPr="009A6BEB">
        <w:rPr>
          <w:sz w:val="20"/>
          <w:szCs w:val="20"/>
        </w:rPr>
        <w:t>(7596),</w:t>
      </w:r>
      <w:r w:rsidR="00407FFE">
        <w:rPr>
          <w:sz w:val="20"/>
          <w:szCs w:val="20"/>
        </w:rPr>
        <w:t xml:space="preserve"> </w:t>
      </w:r>
      <w:r w:rsidRPr="009A6BEB">
        <w:rPr>
          <w:sz w:val="20"/>
          <w:szCs w:val="20"/>
        </w:rPr>
        <w:t>568+.</w:t>
      </w:r>
      <w:r w:rsidR="00407FFE">
        <w:rPr>
          <w:sz w:val="20"/>
          <w:szCs w:val="20"/>
        </w:rPr>
        <w:t xml:space="preserve"> </w:t>
      </w:r>
      <w:r w:rsidR="00407FFE" w:rsidRPr="00407FFE">
        <w:rPr>
          <w:i/>
          <w:iCs/>
          <w:sz w:val="20"/>
          <w:szCs w:val="20"/>
        </w:rPr>
        <w:t>Gale OneFile: Health and Medicine</w:t>
      </w:r>
      <w:r w:rsidR="00407FFE">
        <w:rPr>
          <w:i/>
          <w:iCs/>
          <w:sz w:val="20"/>
          <w:szCs w:val="20"/>
        </w:rPr>
        <w:t xml:space="preserve">. </w:t>
      </w:r>
      <w:r w:rsidR="00407FFE" w:rsidRPr="009A6BEB">
        <w:rPr>
          <w:sz w:val="20"/>
          <w:szCs w:val="20"/>
        </w:rPr>
        <w:t>Retrieved from</w:t>
      </w:r>
      <w:r w:rsidR="00407FFE">
        <w:rPr>
          <w:sz w:val="20"/>
          <w:szCs w:val="20"/>
        </w:rPr>
        <w:t xml:space="preserve"> </w:t>
      </w:r>
      <w:hyperlink r:id="rId40" w:history="1">
        <w:r w:rsidR="00407FFE" w:rsidRPr="009A6BEB">
          <w:rPr>
            <w:rStyle w:val="Hyperlink"/>
            <w:sz w:val="20"/>
            <w:szCs w:val="20"/>
          </w:rPr>
          <w:t>https://link.gale.com/apps/doc/A663936996/HRCA?u=anon~4bf42921&amp;sid=googleScholar&amp;xid=2fbc4035</w:t>
        </w:r>
      </w:hyperlink>
      <w:r w:rsidR="00407FFE">
        <w:rPr>
          <w:sz w:val="20"/>
          <w:szCs w:val="20"/>
        </w:rPr>
        <w:t xml:space="preserve"> </w:t>
      </w:r>
      <w:r w:rsidR="00407FFE" w:rsidRPr="009A6BEB">
        <w:rPr>
          <w:sz w:val="20"/>
          <w:szCs w:val="20"/>
        </w:rPr>
        <w:t>(accessed 19 February 2022)</w:t>
      </w:r>
    </w:p>
    <w:p w14:paraId="10C74A17" w14:textId="77777777" w:rsidR="009A6BEB" w:rsidRPr="009A6BEB" w:rsidRDefault="009A6BEB" w:rsidP="009A6BEB">
      <w:pPr>
        <w:pStyle w:val="NormalWeb"/>
        <w:rPr>
          <w:sz w:val="20"/>
          <w:szCs w:val="20"/>
        </w:rPr>
      </w:pPr>
      <w:r w:rsidRPr="009A6BEB">
        <w:rPr>
          <w:sz w:val="20"/>
          <w:szCs w:val="20"/>
        </w:rPr>
        <w:t>Mohr, L. A., &amp; Bitner, M. J. (1995). The role of employee effort in satisfaction with service transactions. </w:t>
      </w:r>
      <w:r w:rsidRPr="009A6BEB">
        <w:rPr>
          <w:i/>
          <w:iCs/>
          <w:sz w:val="20"/>
          <w:szCs w:val="20"/>
        </w:rPr>
        <w:t>Journal of Business Research</w:t>
      </w:r>
      <w:r w:rsidRPr="009A6BEB">
        <w:rPr>
          <w:sz w:val="20"/>
          <w:szCs w:val="20"/>
        </w:rPr>
        <w:t>, </w:t>
      </w:r>
      <w:r w:rsidRPr="009A6BEB">
        <w:rPr>
          <w:i/>
          <w:iCs/>
          <w:sz w:val="20"/>
          <w:szCs w:val="20"/>
        </w:rPr>
        <w:t>32</w:t>
      </w:r>
      <w:r w:rsidRPr="009A6BEB">
        <w:rPr>
          <w:sz w:val="20"/>
          <w:szCs w:val="20"/>
        </w:rPr>
        <w:t xml:space="preserve">(3), 239-252. </w:t>
      </w:r>
      <w:hyperlink r:id="rId41" w:tgtFrame="_blank" w:tooltip="Persistent link using digital object identifier" w:history="1">
        <w:r w:rsidRPr="009A6BEB">
          <w:rPr>
            <w:rStyle w:val="Hyperlink"/>
            <w:sz w:val="20"/>
            <w:szCs w:val="20"/>
          </w:rPr>
          <w:t>https://doi.org/10.1016/0148-2963(94)00049-K</w:t>
        </w:r>
      </w:hyperlink>
    </w:p>
    <w:p w14:paraId="48720D3A" w14:textId="77777777" w:rsidR="009A6BEB" w:rsidRPr="009A6BEB" w:rsidRDefault="009A6BEB" w:rsidP="009A6BEB">
      <w:pPr>
        <w:pStyle w:val="NormalWeb"/>
        <w:rPr>
          <w:sz w:val="20"/>
          <w:szCs w:val="20"/>
        </w:rPr>
      </w:pPr>
      <w:proofErr w:type="spellStart"/>
      <w:r w:rsidRPr="009A6BEB">
        <w:rPr>
          <w:sz w:val="20"/>
          <w:szCs w:val="20"/>
        </w:rPr>
        <w:t>Obeidat</w:t>
      </w:r>
      <w:proofErr w:type="spellEnd"/>
      <w:r w:rsidRPr="009A6BEB">
        <w:rPr>
          <w:sz w:val="20"/>
          <w:szCs w:val="20"/>
        </w:rPr>
        <w:t xml:space="preserve">, Z. M., </w:t>
      </w:r>
      <w:proofErr w:type="spellStart"/>
      <w:r w:rsidRPr="009A6BEB">
        <w:rPr>
          <w:sz w:val="20"/>
          <w:szCs w:val="20"/>
        </w:rPr>
        <w:t>AlGharabat</w:t>
      </w:r>
      <w:proofErr w:type="spellEnd"/>
      <w:r w:rsidRPr="009A6BEB">
        <w:rPr>
          <w:sz w:val="20"/>
          <w:szCs w:val="20"/>
        </w:rPr>
        <w:t xml:space="preserve">, R. S., </w:t>
      </w:r>
      <w:proofErr w:type="spellStart"/>
      <w:r w:rsidRPr="009A6BEB">
        <w:rPr>
          <w:sz w:val="20"/>
          <w:szCs w:val="20"/>
        </w:rPr>
        <w:t>Alalwan</w:t>
      </w:r>
      <w:proofErr w:type="spellEnd"/>
      <w:r w:rsidRPr="009A6BEB">
        <w:rPr>
          <w:sz w:val="20"/>
          <w:szCs w:val="20"/>
        </w:rPr>
        <w:t>, A. A., Xiao, S. H., Dwivedi, Y. K., &amp; Rana, N. P. (2020). Narcissism, interactivity, community, and online revenge behavior: The moderating role of social presence among Jordanian consumers. </w:t>
      </w:r>
      <w:r w:rsidRPr="009A6BEB">
        <w:rPr>
          <w:i/>
          <w:iCs/>
          <w:sz w:val="20"/>
          <w:szCs w:val="20"/>
        </w:rPr>
        <w:t>Computers in Human Behavior</w:t>
      </w:r>
      <w:r w:rsidRPr="009A6BEB">
        <w:rPr>
          <w:sz w:val="20"/>
          <w:szCs w:val="20"/>
        </w:rPr>
        <w:t>, </w:t>
      </w:r>
      <w:r w:rsidRPr="009A6BEB">
        <w:rPr>
          <w:i/>
          <w:iCs/>
          <w:sz w:val="20"/>
          <w:szCs w:val="20"/>
        </w:rPr>
        <w:t>104</w:t>
      </w:r>
      <w:r w:rsidRPr="009A6BEB">
        <w:rPr>
          <w:sz w:val="20"/>
          <w:szCs w:val="20"/>
        </w:rPr>
        <w:t xml:space="preserve">, 1-15. </w:t>
      </w:r>
      <w:hyperlink r:id="rId42" w:tgtFrame="_blank" w:tooltip="Persistent link using digital object identifier" w:history="1">
        <w:r w:rsidRPr="009A6BEB">
          <w:rPr>
            <w:rStyle w:val="Hyperlink"/>
            <w:sz w:val="20"/>
            <w:szCs w:val="20"/>
          </w:rPr>
          <w:t>https://doi.org/10.1016/j.chb.2019.106170</w:t>
        </w:r>
      </w:hyperlink>
      <w:r w:rsidRPr="009A6BEB">
        <w:rPr>
          <w:sz w:val="20"/>
          <w:szCs w:val="20"/>
        </w:rPr>
        <w:t xml:space="preserve"> </w:t>
      </w:r>
    </w:p>
    <w:p w14:paraId="5A723EBD" w14:textId="77777777" w:rsidR="009A6BEB" w:rsidRPr="009A6BEB" w:rsidRDefault="009A6BEB" w:rsidP="009A6BEB">
      <w:pPr>
        <w:pStyle w:val="NormalWeb"/>
        <w:rPr>
          <w:sz w:val="20"/>
          <w:szCs w:val="20"/>
          <w:lang w:val="fi-FI"/>
        </w:rPr>
      </w:pPr>
      <w:proofErr w:type="spellStart"/>
      <w:r w:rsidRPr="009A6BEB">
        <w:rPr>
          <w:sz w:val="20"/>
          <w:szCs w:val="20"/>
        </w:rPr>
        <w:t>Obeidat</w:t>
      </w:r>
      <w:proofErr w:type="spellEnd"/>
      <w:r w:rsidRPr="009A6BEB">
        <w:rPr>
          <w:sz w:val="20"/>
          <w:szCs w:val="20"/>
        </w:rPr>
        <w:t xml:space="preserve">, Z. M., Xiao, S. H., al </w:t>
      </w:r>
      <w:proofErr w:type="spellStart"/>
      <w:r w:rsidRPr="009A6BEB">
        <w:rPr>
          <w:sz w:val="20"/>
          <w:szCs w:val="20"/>
        </w:rPr>
        <w:t>Qasem</w:t>
      </w:r>
      <w:proofErr w:type="spellEnd"/>
      <w:r w:rsidRPr="009A6BEB">
        <w:rPr>
          <w:sz w:val="20"/>
          <w:szCs w:val="20"/>
        </w:rPr>
        <w:t xml:space="preserve">, Z., &amp; </w:t>
      </w:r>
      <w:proofErr w:type="spellStart"/>
      <w:r w:rsidRPr="009A6BEB">
        <w:rPr>
          <w:sz w:val="20"/>
          <w:szCs w:val="20"/>
        </w:rPr>
        <w:t>Obeidat</w:t>
      </w:r>
      <w:proofErr w:type="spellEnd"/>
      <w:r w:rsidRPr="009A6BEB">
        <w:rPr>
          <w:sz w:val="20"/>
          <w:szCs w:val="20"/>
        </w:rPr>
        <w:t>, A. (2018). Social media revenge: A typology of online consumer revenge. </w:t>
      </w:r>
      <w:r w:rsidRPr="009A6BEB">
        <w:rPr>
          <w:i/>
          <w:iCs/>
          <w:sz w:val="20"/>
          <w:szCs w:val="20"/>
        </w:rPr>
        <w:t>Journal of Retailing and Consumer Services</w:t>
      </w:r>
      <w:r w:rsidRPr="009A6BEB">
        <w:rPr>
          <w:sz w:val="20"/>
          <w:szCs w:val="20"/>
        </w:rPr>
        <w:t>, </w:t>
      </w:r>
      <w:r w:rsidRPr="009A6BEB">
        <w:rPr>
          <w:i/>
          <w:iCs/>
          <w:sz w:val="20"/>
          <w:szCs w:val="20"/>
        </w:rPr>
        <w:t>45</w:t>
      </w:r>
      <w:r w:rsidRPr="009A6BEB">
        <w:rPr>
          <w:sz w:val="20"/>
          <w:szCs w:val="20"/>
        </w:rPr>
        <w:t xml:space="preserve">, 239-255. </w:t>
      </w:r>
      <w:hyperlink r:id="rId43" w:tgtFrame="_blank" w:tooltip="Persistent link using digital object identifier" w:history="1">
        <w:r w:rsidRPr="009A6BEB">
          <w:rPr>
            <w:rStyle w:val="Hyperlink"/>
            <w:sz w:val="20"/>
            <w:szCs w:val="20"/>
            <w:lang w:val="fi-FI"/>
          </w:rPr>
          <w:t>https://doi.org/10.1016/j.jretconser.2018.09.010</w:t>
        </w:r>
      </w:hyperlink>
      <w:r w:rsidRPr="009A6BEB">
        <w:rPr>
          <w:sz w:val="20"/>
          <w:szCs w:val="20"/>
          <w:lang w:val="fi-FI"/>
        </w:rPr>
        <w:t xml:space="preserve"> </w:t>
      </w:r>
    </w:p>
    <w:p w14:paraId="6BDDBC3D" w14:textId="77777777" w:rsidR="009A6BEB" w:rsidRPr="009A6BEB" w:rsidRDefault="009A6BEB" w:rsidP="009A6BEB">
      <w:pPr>
        <w:pStyle w:val="NormalWeb"/>
        <w:rPr>
          <w:bCs/>
          <w:sz w:val="20"/>
          <w:szCs w:val="20"/>
        </w:rPr>
      </w:pPr>
      <w:proofErr w:type="spellStart"/>
      <w:r w:rsidRPr="009A6BEB">
        <w:rPr>
          <w:bCs/>
          <w:sz w:val="20"/>
          <w:szCs w:val="20"/>
          <w:lang w:val="fi-FI"/>
        </w:rPr>
        <w:t>Pu</w:t>
      </w:r>
      <w:proofErr w:type="spellEnd"/>
      <w:r w:rsidRPr="009A6BEB">
        <w:rPr>
          <w:bCs/>
          <w:sz w:val="20"/>
          <w:szCs w:val="20"/>
          <w:lang w:val="fi-FI"/>
        </w:rPr>
        <w:t xml:space="preserve">, B., </w:t>
      </w:r>
      <w:proofErr w:type="spellStart"/>
      <w:r w:rsidRPr="009A6BEB">
        <w:rPr>
          <w:bCs/>
          <w:sz w:val="20"/>
          <w:szCs w:val="20"/>
          <w:lang w:val="fi-FI"/>
        </w:rPr>
        <w:t>Ji</w:t>
      </w:r>
      <w:proofErr w:type="spellEnd"/>
      <w:r w:rsidRPr="009A6BEB">
        <w:rPr>
          <w:bCs/>
          <w:sz w:val="20"/>
          <w:szCs w:val="20"/>
          <w:lang w:val="fi-FI"/>
        </w:rPr>
        <w:t xml:space="preserve">, S., &amp; </w:t>
      </w:r>
      <w:proofErr w:type="spellStart"/>
      <w:r w:rsidRPr="009A6BEB">
        <w:rPr>
          <w:bCs/>
          <w:sz w:val="20"/>
          <w:szCs w:val="20"/>
          <w:lang w:val="fi-FI"/>
        </w:rPr>
        <w:t>Sang</w:t>
      </w:r>
      <w:proofErr w:type="spellEnd"/>
      <w:r w:rsidRPr="009A6BEB">
        <w:rPr>
          <w:bCs/>
          <w:sz w:val="20"/>
          <w:szCs w:val="20"/>
          <w:lang w:val="fi-FI"/>
        </w:rPr>
        <w:t xml:space="preserve">, W. (2022). </w:t>
      </w:r>
      <w:r w:rsidRPr="009A6BEB">
        <w:rPr>
          <w:bCs/>
          <w:sz w:val="20"/>
          <w:szCs w:val="20"/>
        </w:rPr>
        <w:t>Effects of customer incivility on turnover intention in China’s hotel employees: A chain mediating model. </w:t>
      </w:r>
      <w:r w:rsidRPr="009A6BEB">
        <w:rPr>
          <w:bCs/>
          <w:i/>
          <w:iCs/>
          <w:sz w:val="20"/>
          <w:szCs w:val="20"/>
        </w:rPr>
        <w:t>Journal of Hospitality and Tourism Management</w:t>
      </w:r>
      <w:r w:rsidRPr="009A6BEB">
        <w:rPr>
          <w:bCs/>
          <w:sz w:val="20"/>
          <w:szCs w:val="20"/>
        </w:rPr>
        <w:t>, </w:t>
      </w:r>
      <w:r w:rsidRPr="009A6BEB">
        <w:rPr>
          <w:bCs/>
          <w:i/>
          <w:iCs/>
          <w:sz w:val="20"/>
          <w:szCs w:val="20"/>
        </w:rPr>
        <w:t>50</w:t>
      </w:r>
      <w:r w:rsidRPr="009A6BEB">
        <w:rPr>
          <w:bCs/>
          <w:sz w:val="20"/>
          <w:szCs w:val="20"/>
        </w:rPr>
        <w:t xml:space="preserve">, 327-336. </w:t>
      </w:r>
      <w:hyperlink r:id="rId44" w:tgtFrame="_blank" w:tooltip="Persistent link using digital object identifier" w:history="1">
        <w:r w:rsidRPr="009A6BEB">
          <w:rPr>
            <w:rStyle w:val="Hyperlink"/>
            <w:bCs/>
            <w:sz w:val="20"/>
            <w:szCs w:val="20"/>
          </w:rPr>
          <w:t>https://doi.org/10.1016/j.jhtm.2022.02.004</w:t>
        </w:r>
      </w:hyperlink>
      <w:r w:rsidRPr="009A6BEB">
        <w:rPr>
          <w:bCs/>
          <w:sz w:val="20"/>
          <w:szCs w:val="20"/>
        </w:rPr>
        <w:t xml:space="preserve"> </w:t>
      </w:r>
    </w:p>
    <w:p w14:paraId="348B595C" w14:textId="77777777" w:rsidR="009A6BEB" w:rsidRPr="009A6BEB" w:rsidRDefault="009A6BEB" w:rsidP="009A6BEB">
      <w:pPr>
        <w:pStyle w:val="NormalWeb"/>
        <w:rPr>
          <w:sz w:val="20"/>
          <w:szCs w:val="20"/>
        </w:rPr>
      </w:pPr>
      <w:proofErr w:type="spellStart"/>
      <w:r w:rsidRPr="009A6BEB">
        <w:rPr>
          <w:sz w:val="20"/>
          <w:szCs w:val="20"/>
        </w:rPr>
        <w:t>Ransbotham</w:t>
      </w:r>
      <w:proofErr w:type="spellEnd"/>
      <w:r w:rsidRPr="009A6BEB">
        <w:rPr>
          <w:sz w:val="20"/>
          <w:szCs w:val="20"/>
        </w:rPr>
        <w:t>, S., Fichman, R. G., Gopal, R., &amp; Gupta, A. (2016). Special section introduction—ubiquitous IT and digital vulnerabilities. </w:t>
      </w:r>
      <w:r w:rsidRPr="009A6BEB">
        <w:rPr>
          <w:i/>
          <w:iCs/>
          <w:sz w:val="20"/>
          <w:szCs w:val="20"/>
        </w:rPr>
        <w:t>Information Systems Research</w:t>
      </w:r>
      <w:r w:rsidRPr="009A6BEB">
        <w:rPr>
          <w:sz w:val="20"/>
          <w:szCs w:val="20"/>
        </w:rPr>
        <w:t>, </w:t>
      </w:r>
      <w:r w:rsidRPr="009A6BEB">
        <w:rPr>
          <w:i/>
          <w:iCs/>
          <w:sz w:val="20"/>
          <w:szCs w:val="20"/>
        </w:rPr>
        <w:t>27</w:t>
      </w:r>
      <w:r w:rsidRPr="009A6BEB">
        <w:rPr>
          <w:sz w:val="20"/>
          <w:szCs w:val="20"/>
        </w:rPr>
        <w:t xml:space="preserve">(4), 834-847. </w:t>
      </w:r>
      <w:hyperlink r:id="rId45" w:history="1">
        <w:r w:rsidRPr="009A6BEB">
          <w:rPr>
            <w:rStyle w:val="Hyperlink"/>
            <w:sz w:val="20"/>
            <w:szCs w:val="20"/>
          </w:rPr>
          <w:t>https://doi.org/10.1287/isre.2016.0683</w:t>
        </w:r>
      </w:hyperlink>
      <w:r w:rsidRPr="009A6BEB">
        <w:rPr>
          <w:sz w:val="20"/>
          <w:szCs w:val="20"/>
        </w:rPr>
        <w:t xml:space="preserve"> </w:t>
      </w:r>
    </w:p>
    <w:p w14:paraId="60EFF929" w14:textId="1437366B" w:rsidR="009A6BEB" w:rsidRPr="009A6BEB" w:rsidRDefault="009A6BEB" w:rsidP="009A6BEB">
      <w:pPr>
        <w:pStyle w:val="NormalWeb"/>
        <w:rPr>
          <w:sz w:val="20"/>
          <w:szCs w:val="20"/>
        </w:rPr>
      </w:pPr>
      <w:r w:rsidRPr="009A6BEB">
        <w:rPr>
          <w:sz w:val="20"/>
          <w:szCs w:val="20"/>
        </w:rPr>
        <w:t xml:space="preserve">Shandwick, Weber. (2019). Nearly Two-Thirds of the American Public Believes Social Media is Undermining Civility in America; All Demographic Groups Agree. </w:t>
      </w:r>
      <w:proofErr w:type="spellStart"/>
      <w:r w:rsidR="004924F9" w:rsidRPr="004924F9">
        <w:rPr>
          <w:i/>
          <w:iCs/>
          <w:sz w:val="20"/>
          <w:szCs w:val="20"/>
        </w:rPr>
        <w:t>Cision</w:t>
      </w:r>
      <w:proofErr w:type="spellEnd"/>
      <w:r w:rsidR="004924F9" w:rsidRPr="004924F9">
        <w:rPr>
          <w:i/>
          <w:iCs/>
          <w:sz w:val="20"/>
          <w:szCs w:val="20"/>
        </w:rPr>
        <w:t xml:space="preserve"> PR Newswire</w:t>
      </w:r>
      <w:r w:rsidR="004924F9">
        <w:rPr>
          <w:sz w:val="20"/>
          <w:szCs w:val="20"/>
        </w:rPr>
        <w:t xml:space="preserve">. </w:t>
      </w:r>
      <w:bookmarkStart w:id="9" w:name="_Hlk112240736"/>
      <w:r w:rsidRPr="009A6BEB">
        <w:rPr>
          <w:sz w:val="20"/>
          <w:szCs w:val="20"/>
        </w:rPr>
        <w:t xml:space="preserve">Retrieved from </w:t>
      </w:r>
      <w:bookmarkEnd w:id="9"/>
      <w:r w:rsidRPr="009A6BEB">
        <w:rPr>
          <w:sz w:val="20"/>
          <w:szCs w:val="20"/>
        </w:rPr>
        <w:fldChar w:fldCharType="begin"/>
      </w:r>
      <w:r w:rsidRPr="009A6BEB">
        <w:rPr>
          <w:sz w:val="20"/>
          <w:szCs w:val="20"/>
        </w:rPr>
        <w:instrText xml:space="preserve"> HYPERLINK "https://www.prnewswire.com/news-releases/nearly-two-thirds-of-the-american-public-believes-social-media-is-undermining-civility-in-america-all-demographic-groups-agree-300874951.html" </w:instrText>
      </w:r>
      <w:r w:rsidRPr="009A6BEB">
        <w:rPr>
          <w:sz w:val="20"/>
          <w:szCs w:val="20"/>
        </w:rPr>
        <w:fldChar w:fldCharType="separate"/>
      </w:r>
      <w:r w:rsidRPr="009A6BEB">
        <w:rPr>
          <w:rStyle w:val="Hyperlink"/>
          <w:sz w:val="20"/>
          <w:szCs w:val="20"/>
        </w:rPr>
        <w:t>Nearly Two-Thirds of the American Public Believes Social Media is Undermining Civility in America; All Demographic Groups Agree (prnewswire.com)</w:t>
      </w:r>
      <w:r w:rsidRPr="009A6BEB">
        <w:rPr>
          <w:sz w:val="20"/>
          <w:szCs w:val="20"/>
        </w:rPr>
        <w:fldChar w:fldCharType="end"/>
      </w:r>
      <w:r w:rsidRPr="009A6BEB">
        <w:rPr>
          <w:sz w:val="20"/>
          <w:szCs w:val="20"/>
          <w:u w:val="single"/>
        </w:rPr>
        <w:t xml:space="preserve"> </w:t>
      </w:r>
      <w:r w:rsidRPr="009A6BEB">
        <w:rPr>
          <w:sz w:val="20"/>
          <w:szCs w:val="20"/>
        </w:rPr>
        <w:t xml:space="preserve">(accessed 19 February 2022) </w:t>
      </w:r>
    </w:p>
    <w:p w14:paraId="71367275" w14:textId="77777777" w:rsidR="009A6BEB" w:rsidRPr="009A6BEB" w:rsidRDefault="009A6BEB" w:rsidP="009A6BEB">
      <w:pPr>
        <w:pStyle w:val="NormalWeb"/>
        <w:rPr>
          <w:sz w:val="20"/>
          <w:szCs w:val="20"/>
        </w:rPr>
      </w:pPr>
      <w:proofErr w:type="spellStart"/>
      <w:r w:rsidRPr="009A6BEB">
        <w:rPr>
          <w:sz w:val="20"/>
          <w:szCs w:val="20"/>
        </w:rPr>
        <w:t>Skålén</w:t>
      </w:r>
      <w:proofErr w:type="spellEnd"/>
      <w:r w:rsidRPr="009A6BEB">
        <w:rPr>
          <w:sz w:val="20"/>
          <w:szCs w:val="20"/>
        </w:rPr>
        <w:t>, P., Pace, S., &amp; Cova, B. (2015). Firm-brand community value co-creation as alignment of practices. </w:t>
      </w:r>
      <w:r w:rsidRPr="009A6BEB">
        <w:rPr>
          <w:i/>
          <w:iCs/>
          <w:sz w:val="20"/>
          <w:szCs w:val="20"/>
        </w:rPr>
        <w:t>European Journal of Marketing, 49</w:t>
      </w:r>
      <w:r w:rsidRPr="009A6BEB">
        <w:rPr>
          <w:sz w:val="20"/>
          <w:szCs w:val="20"/>
        </w:rPr>
        <w:t xml:space="preserve"> (3/4), 596-620. </w:t>
      </w:r>
      <w:hyperlink r:id="rId46" w:tooltip="DOI: https://doi.org/10.1108/EJM-08-2013-0409" w:history="1">
        <w:r w:rsidRPr="009A6BEB">
          <w:rPr>
            <w:rStyle w:val="Hyperlink"/>
            <w:sz w:val="20"/>
            <w:szCs w:val="20"/>
          </w:rPr>
          <w:t>https://doi.org/10.1108/EJM-08-2013-0409</w:t>
        </w:r>
      </w:hyperlink>
      <w:r w:rsidRPr="009A6BEB">
        <w:rPr>
          <w:sz w:val="20"/>
          <w:szCs w:val="20"/>
        </w:rPr>
        <w:t xml:space="preserve"> </w:t>
      </w:r>
    </w:p>
    <w:p w14:paraId="50D1E72B" w14:textId="77777777" w:rsidR="009A6BEB" w:rsidRPr="009A6BEB" w:rsidRDefault="009A6BEB" w:rsidP="009A6BEB">
      <w:pPr>
        <w:pStyle w:val="NormalWeb"/>
        <w:spacing w:line="240" w:lineRule="auto"/>
        <w:rPr>
          <w:sz w:val="20"/>
          <w:szCs w:val="20"/>
          <w:lang w:val="en-GB"/>
        </w:rPr>
      </w:pPr>
      <w:proofErr w:type="spellStart"/>
      <w:r w:rsidRPr="009A6BEB">
        <w:rPr>
          <w:sz w:val="20"/>
          <w:szCs w:val="20"/>
        </w:rPr>
        <w:t>Sweiss</w:t>
      </w:r>
      <w:proofErr w:type="spellEnd"/>
      <w:r w:rsidRPr="009A6BEB">
        <w:rPr>
          <w:sz w:val="20"/>
          <w:szCs w:val="20"/>
        </w:rPr>
        <w:t xml:space="preserve">, N., </w:t>
      </w:r>
      <w:proofErr w:type="spellStart"/>
      <w:r w:rsidRPr="009A6BEB">
        <w:rPr>
          <w:sz w:val="20"/>
          <w:szCs w:val="20"/>
        </w:rPr>
        <w:t>Obeidat</w:t>
      </w:r>
      <w:proofErr w:type="spellEnd"/>
      <w:r w:rsidRPr="009A6BEB">
        <w:rPr>
          <w:sz w:val="20"/>
          <w:szCs w:val="20"/>
        </w:rPr>
        <w:t>, Z. M., Al-</w:t>
      </w:r>
      <w:proofErr w:type="spellStart"/>
      <w:r w:rsidRPr="009A6BEB">
        <w:rPr>
          <w:sz w:val="20"/>
          <w:szCs w:val="20"/>
        </w:rPr>
        <w:t>Dweeri</w:t>
      </w:r>
      <w:proofErr w:type="spellEnd"/>
      <w:r w:rsidRPr="009A6BEB">
        <w:rPr>
          <w:sz w:val="20"/>
          <w:szCs w:val="20"/>
        </w:rPr>
        <w:t xml:space="preserve">, R. M., Mohammad Khalaf Ahmad, A., M. </w:t>
      </w:r>
      <w:proofErr w:type="spellStart"/>
      <w:r w:rsidRPr="009A6BEB">
        <w:rPr>
          <w:sz w:val="20"/>
          <w:szCs w:val="20"/>
        </w:rPr>
        <w:t>Obeidat</w:t>
      </w:r>
      <w:proofErr w:type="spellEnd"/>
      <w:r w:rsidRPr="009A6BEB">
        <w:rPr>
          <w:sz w:val="20"/>
          <w:szCs w:val="20"/>
        </w:rPr>
        <w:t xml:space="preserve">, A., &amp; </w:t>
      </w:r>
      <w:proofErr w:type="spellStart"/>
      <w:r w:rsidRPr="009A6BEB">
        <w:rPr>
          <w:sz w:val="20"/>
          <w:szCs w:val="20"/>
        </w:rPr>
        <w:t>Alshurideh</w:t>
      </w:r>
      <w:proofErr w:type="spellEnd"/>
      <w:r w:rsidRPr="009A6BEB">
        <w:rPr>
          <w:sz w:val="20"/>
          <w:szCs w:val="20"/>
        </w:rPr>
        <w:t>, M. (2021). The moderating role of perceived company effort in mitigating customer misconduct within Online Brand Communities (OBC). </w:t>
      </w:r>
      <w:r w:rsidRPr="009A6BEB">
        <w:rPr>
          <w:i/>
          <w:iCs/>
          <w:sz w:val="20"/>
          <w:szCs w:val="20"/>
        </w:rPr>
        <w:t>Journal of Marketing Communications</w:t>
      </w:r>
      <w:r w:rsidRPr="009A6BEB">
        <w:rPr>
          <w:sz w:val="20"/>
          <w:szCs w:val="20"/>
        </w:rPr>
        <w:t xml:space="preserve">, 1-24. </w:t>
      </w:r>
      <w:hyperlink r:id="rId47" w:history="1">
        <w:r w:rsidRPr="009A6BEB">
          <w:rPr>
            <w:rStyle w:val="Hyperlink"/>
            <w:sz w:val="20"/>
            <w:szCs w:val="20"/>
            <w:lang w:val="en-GB"/>
          </w:rPr>
          <w:t>https://doi.org/10.1080/13527266.2021.1931942</w:t>
        </w:r>
      </w:hyperlink>
      <w:r w:rsidRPr="009A6BEB">
        <w:rPr>
          <w:sz w:val="20"/>
          <w:szCs w:val="20"/>
        </w:rPr>
        <w:t xml:space="preserve"> </w:t>
      </w:r>
    </w:p>
    <w:p w14:paraId="1F9E2F6B" w14:textId="77777777" w:rsidR="009A6BEB" w:rsidRPr="009A6BEB" w:rsidRDefault="009A6BEB" w:rsidP="009A6BEB">
      <w:pPr>
        <w:pStyle w:val="NormalWeb"/>
        <w:rPr>
          <w:sz w:val="20"/>
          <w:szCs w:val="20"/>
          <w:lang w:val="fi-FI"/>
        </w:rPr>
      </w:pPr>
      <w:r w:rsidRPr="009A6BEB">
        <w:rPr>
          <w:sz w:val="20"/>
          <w:szCs w:val="20"/>
        </w:rPr>
        <w:t>Tombs, A., &amp; McColl-Kennedy, J. R. (2003). Social-</w:t>
      </w:r>
      <w:proofErr w:type="spellStart"/>
      <w:r w:rsidRPr="009A6BEB">
        <w:rPr>
          <w:sz w:val="20"/>
          <w:szCs w:val="20"/>
        </w:rPr>
        <w:t>servicescape</w:t>
      </w:r>
      <w:proofErr w:type="spellEnd"/>
      <w:r w:rsidRPr="009A6BEB">
        <w:rPr>
          <w:sz w:val="20"/>
          <w:szCs w:val="20"/>
        </w:rPr>
        <w:t xml:space="preserve"> conceptual model. </w:t>
      </w:r>
      <w:r w:rsidRPr="009A6BEB">
        <w:rPr>
          <w:i/>
          <w:iCs/>
          <w:sz w:val="20"/>
          <w:szCs w:val="20"/>
        </w:rPr>
        <w:t>Marketing Theory</w:t>
      </w:r>
      <w:r w:rsidRPr="009A6BEB">
        <w:rPr>
          <w:sz w:val="20"/>
          <w:szCs w:val="20"/>
        </w:rPr>
        <w:t>, </w:t>
      </w:r>
      <w:r w:rsidRPr="009A6BEB">
        <w:rPr>
          <w:i/>
          <w:iCs/>
          <w:sz w:val="20"/>
          <w:szCs w:val="20"/>
        </w:rPr>
        <w:t>3</w:t>
      </w:r>
      <w:r w:rsidRPr="009A6BEB">
        <w:rPr>
          <w:sz w:val="20"/>
          <w:szCs w:val="20"/>
        </w:rPr>
        <w:t xml:space="preserve">(4), 447-475. </w:t>
      </w:r>
      <w:hyperlink r:id="rId48" w:history="1">
        <w:r w:rsidRPr="009A6BEB">
          <w:rPr>
            <w:rStyle w:val="Hyperlink"/>
            <w:sz w:val="20"/>
            <w:szCs w:val="20"/>
            <w:lang w:val="fi-FI"/>
          </w:rPr>
          <w:t>https://doi.org/10.1177/1470593103040785</w:t>
        </w:r>
      </w:hyperlink>
      <w:r w:rsidRPr="009A6BEB">
        <w:rPr>
          <w:sz w:val="20"/>
          <w:szCs w:val="20"/>
          <w:lang w:val="fi-FI"/>
        </w:rPr>
        <w:t xml:space="preserve"> </w:t>
      </w:r>
    </w:p>
    <w:p w14:paraId="128DEAB3" w14:textId="77777777" w:rsidR="009A6BEB" w:rsidRPr="009A6BEB" w:rsidRDefault="009A6BEB" w:rsidP="009A6BEB">
      <w:pPr>
        <w:pStyle w:val="NormalWeb"/>
        <w:rPr>
          <w:sz w:val="20"/>
          <w:szCs w:val="20"/>
        </w:rPr>
      </w:pPr>
      <w:r w:rsidRPr="009A6BEB">
        <w:rPr>
          <w:sz w:val="20"/>
          <w:szCs w:val="20"/>
          <w:lang w:val="fi-FI"/>
        </w:rPr>
        <w:lastRenderedPageBreak/>
        <w:t xml:space="preserve">Tsai, H. T., Huang, H. C., &amp; </w:t>
      </w:r>
      <w:proofErr w:type="spellStart"/>
      <w:r w:rsidRPr="009A6BEB">
        <w:rPr>
          <w:sz w:val="20"/>
          <w:szCs w:val="20"/>
          <w:lang w:val="fi-FI"/>
        </w:rPr>
        <w:t>Chiu</w:t>
      </w:r>
      <w:proofErr w:type="spellEnd"/>
      <w:r w:rsidRPr="009A6BEB">
        <w:rPr>
          <w:sz w:val="20"/>
          <w:szCs w:val="20"/>
          <w:lang w:val="fi-FI"/>
        </w:rPr>
        <w:t xml:space="preserve">, Y. L. (2012). </w:t>
      </w:r>
      <w:r w:rsidRPr="009A6BEB">
        <w:rPr>
          <w:sz w:val="20"/>
          <w:szCs w:val="20"/>
        </w:rPr>
        <w:t>Brand community participation in Taiwan: Examining the roles of individual-, group-, and relationship-level antecedents. </w:t>
      </w:r>
      <w:r w:rsidRPr="009A6BEB">
        <w:rPr>
          <w:i/>
          <w:iCs/>
          <w:sz w:val="20"/>
          <w:szCs w:val="20"/>
        </w:rPr>
        <w:t>Journal of Business Research</w:t>
      </w:r>
      <w:r w:rsidRPr="009A6BEB">
        <w:rPr>
          <w:sz w:val="20"/>
          <w:szCs w:val="20"/>
        </w:rPr>
        <w:t>, </w:t>
      </w:r>
      <w:r w:rsidRPr="009A6BEB">
        <w:rPr>
          <w:i/>
          <w:iCs/>
          <w:sz w:val="20"/>
          <w:szCs w:val="20"/>
        </w:rPr>
        <w:t>65</w:t>
      </w:r>
      <w:r w:rsidRPr="009A6BEB">
        <w:rPr>
          <w:sz w:val="20"/>
          <w:szCs w:val="20"/>
        </w:rPr>
        <w:t xml:space="preserve">(5), 676-684. </w:t>
      </w:r>
      <w:hyperlink r:id="rId49" w:history="1">
        <w:r w:rsidRPr="009A6BEB">
          <w:rPr>
            <w:rStyle w:val="Hyperlink"/>
            <w:sz w:val="20"/>
            <w:szCs w:val="20"/>
          </w:rPr>
          <w:t>https://doi.org/10.1016/j.jbusres.2011.03.011</w:t>
        </w:r>
      </w:hyperlink>
      <w:r w:rsidRPr="009A6BEB">
        <w:rPr>
          <w:sz w:val="20"/>
          <w:szCs w:val="20"/>
        </w:rPr>
        <w:t xml:space="preserve"> </w:t>
      </w:r>
    </w:p>
    <w:p w14:paraId="258B9FB6" w14:textId="69718BCC" w:rsidR="00DE59EC" w:rsidRPr="00C37E84" w:rsidRDefault="009A6BEB" w:rsidP="009A6BEB">
      <w:pPr>
        <w:pStyle w:val="NormalWeb"/>
        <w:spacing w:line="240" w:lineRule="auto"/>
        <w:rPr>
          <w:sz w:val="20"/>
          <w:szCs w:val="20"/>
        </w:rPr>
      </w:pPr>
      <w:r w:rsidRPr="009A6BEB">
        <w:rPr>
          <w:sz w:val="20"/>
          <w:szCs w:val="20"/>
        </w:rPr>
        <w:t xml:space="preserve">Wolter, J. S., </w:t>
      </w:r>
      <w:proofErr w:type="spellStart"/>
      <w:r w:rsidRPr="009A6BEB">
        <w:rPr>
          <w:sz w:val="20"/>
          <w:szCs w:val="20"/>
        </w:rPr>
        <w:t>Bacile</w:t>
      </w:r>
      <w:proofErr w:type="spellEnd"/>
      <w:r w:rsidRPr="009A6BEB">
        <w:rPr>
          <w:sz w:val="20"/>
          <w:szCs w:val="20"/>
        </w:rPr>
        <w:t>, T. J., &amp; Xu, P. (2022). How Online Incivility Affects Consumer Engagement Behavior on Brands’ Social Media. </w:t>
      </w:r>
      <w:r w:rsidRPr="009A6BEB">
        <w:rPr>
          <w:i/>
          <w:iCs/>
          <w:sz w:val="20"/>
          <w:szCs w:val="20"/>
        </w:rPr>
        <w:t xml:space="preserve">Journal of Service Research, </w:t>
      </w:r>
      <w:r w:rsidRPr="009A6BEB">
        <w:rPr>
          <w:sz w:val="20"/>
          <w:szCs w:val="20"/>
        </w:rPr>
        <w:t>1094-6705. </w:t>
      </w:r>
      <w:hyperlink r:id="rId50" w:history="1">
        <w:r w:rsidRPr="009A6BEB">
          <w:rPr>
            <w:rStyle w:val="Hyperlink"/>
            <w:sz w:val="20"/>
            <w:szCs w:val="20"/>
          </w:rPr>
          <w:t>https://doi.org/10.1177/10946705221096192</w:t>
        </w:r>
      </w:hyperlink>
    </w:p>
    <w:sectPr w:rsidR="00DE59EC" w:rsidRPr="00C37E84" w:rsidSect="00F7718B">
      <w:headerReference w:type="default" r:id="rId51"/>
      <w:footerReference w:type="even" r:id="rId52"/>
      <w:footerReference w:type="default" r:id="rId53"/>
      <w:headerReference w:type="first" r:id="rId54"/>
      <w:footerReference w:type="first" r:id="rId55"/>
      <w:pgSz w:w="11907" w:h="16839" w:code="9"/>
      <w:pgMar w:top="1134" w:right="851" w:bottom="1134" w:left="851" w:header="40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0FD34" w14:textId="77777777" w:rsidR="00C47AA2" w:rsidRDefault="00C47AA2" w:rsidP="00F839AF">
      <w:pPr>
        <w:spacing w:after="0" w:line="240" w:lineRule="auto"/>
      </w:pPr>
      <w:r>
        <w:separator/>
      </w:r>
    </w:p>
  </w:endnote>
  <w:endnote w:type="continuationSeparator" w:id="0">
    <w:p w14:paraId="5EEE8083" w14:textId="77777777" w:rsidR="00C47AA2" w:rsidRDefault="00C47AA2" w:rsidP="00F83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DFKai-SB">
    <w:altName w:val="標楷體"/>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A636" w14:textId="77777777" w:rsidR="00E8084E" w:rsidRDefault="00E8084E">
    <w:pPr>
      <w:pStyle w:val="Footer"/>
    </w:pPr>
  </w:p>
  <w:p w14:paraId="404717BF" w14:textId="77777777" w:rsidR="00E8084E" w:rsidRDefault="00E8084E"/>
  <w:p w14:paraId="0266C1B9" w14:textId="77777777" w:rsidR="00E8084E" w:rsidRDefault="00E808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A177" w14:textId="77777777" w:rsidR="00A25872" w:rsidRDefault="00A25872" w:rsidP="00CF7E52">
    <w:pPr>
      <w:pStyle w:val="Footer"/>
      <w:jc w:val="center"/>
      <w:rPr>
        <w:i/>
        <w:iCs/>
        <w:sz w:val="20"/>
        <w:lang w:val="en-US" w:eastAsia="zh-TW"/>
      </w:rPr>
    </w:pPr>
    <w:r w:rsidRPr="00A25872">
      <w:rPr>
        <w:i/>
        <w:iCs/>
        <w:sz w:val="20"/>
        <w:lang w:val="en-US" w:eastAsia="zh-TW"/>
      </w:rPr>
      <w:t>The 22nd International Conference on Electronic Business, Bangkok, Thailand, October 13-17, 2022</w:t>
    </w:r>
  </w:p>
  <w:p w14:paraId="2D2965A7" w14:textId="350B3CE3" w:rsidR="00E8084E" w:rsidRPr="00CF7E52" w:rsidRDefault="00E8084E" w:rsidP="00CF7E52">
    <w:pPr>
      <w:pStyle w:val="Footer"/>
      <w:jc w:val="center"/>
      <w:rPr>
        <w:sz w:val="20"/>
      </w:rPr>
    </w:pPr>
    <w:r w:rsidRPr="00CF7E52">
      <w:rPr>
        <w:sz w:val="20"/>
      </w:rPr>
      <w:fldChar w:fldCharType="begin"/>
    </w:r>
    <w:r w:rsidRPr="00CF7E52">
      <w:rPr>
        <w:sz w:val="20"/>
      </w:rPr>
      <w:instrText xml:space="preserve"> PAGE   \* MERGEFORMAT </w:instrText>
    </w:r>
    <w:r w:rsidRPr="00CF7E52">
      <w:rPr>
        <w:sz w:val="20"/>
      </w:rPr>
      <w:fldChar w:fldCharType="separate"/>
    </w:r>
    <w:r w:rsidRPr="0074658E">
      <w:rPr>
        <w:noProof/>
        <w:sz w:val="20"/>
        <w:lang w:val="zh-TW"/>
      </w:rPr>
      <w:t>2</w:t>
    </w:r>
    <w:r w:rsidRPr="00CF7E52">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63AB" w14:textId="618D3695" w:rsidR="00E8084E" w:rsidRPr="00610053" w:rsidRDefault="00A25872" w:rsidP="003A2F71">
    <w:pPr>
      <w:pStyle w:val="Footer"/>
      <w:jc w:val="center"/>
      <w:rPr>
        <w:i/>
        <w:iCs/>
        <w:lang w:val="en-GB"/>
      </w:rPr>
    </w:pPr>
    <w:bookmarkStart w:id="11" w:name="_Hlk112234918"/>
    <w:bookmarkStart w:id="12" w:name="_Hlk112234919"/>
    <w:r>
      <w:rPr>
        <w:i/>
        <w:iCs/>
        <w:sz w:val="20"/>
        <w:lang w:val="en-US" w:eastAsia="zh-TW"/>
      </w:rPr>
      <w:t xml:space="preserve">The </w:t>
    </w:r>
    <w:r w:rsidR="003A2F71" w:rsidRPr="003A2F71">
      <w:rPr>
        <w:i/>
        <w:iCs/>
        <w:sz w:val="20"/>
        <w:lang w:val="en-US" w:eastAsia="zh-TW"/>
      </w:rPr>
      <w:t>22</w:t>
    </w:r>
    <w:r w:rsidR="003A2F71" w:rsidRPr="003A2F71">
      <w:rPr>
        <w:i/>
        <w:iCs/>
        <w:sz w:val="20"/>
        <w:vertAlign w:val="superscript"/>
        <w:lang w:val="en-US" w:eastAsia="zh-TW"/>
      </w:rPr>
      <w:t>nd</w:t>
    </w:r>
    <w:r w:rsidR="003A2F71" w:rsidRPr="003A2F71">
      <w:rPr>
        <w:i/>
        <w:iCs/>
        <w:sz w:val="20"/>
        <w:lang w:val="en-US" w:eastAsia="zh-TW"/>
      </w:rPr>
      <w:t xml:space="preserve"> International Conference on Electronic Business, </w:t>
    </w:r>
    <w:r w:rsidR="003A2F71" w:rsidRPr="003A2F71">
      <w:rPr>
        <w:i/>
        <w:iCs/>
        <w:sz w:val="20"/>
      </w:rPr>
      <w:t>Bangkok, Thailand</w:t>
    </w:r>
    <w:r w:rsidR="003A2F71" w:rsidRPr="003A2F71">
      <w:rPr>
        <w:i/>
        <w:iCs/>
        <w:sz w:val="20"/>
        <w:lang w:val="en-US"/>
      </w:rPr>
      <w:t xml:space="preserve">, </w:t>
    </w:r>
    <w:r w:rsidR="003A2F71" w:rsidRPr="003A2F71">
      <w:rPr>
        <w:i/>
        <w:iCs/>
        <w:sz w:val="20"/>
      </w:rPr>
      <w:t>O</w:t>
    </w:r>
    <w:r>
      <w:rPr>
        <w:i/>
        <w:iCs/>
        <w:sz w:val="20"/>
        <w:lang w:val="en-GB"/>
      </w:rPr>
      <w:t>ctober</w:t>
    </w:r>
    <w:r w:rsidR="003A2F71" w:rsidRPr="003A2F71">
      <w:rPr>
        <w:i/>
        <w:iCs/>
        <w:sz w:val="20"/>
      </w:rPr>
      <w:t xml:space="preserve"> 13-17, 2022</w:t>
    </w:r>
    <w:bookmarkEnd w:id="11"/>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CAD96" w14:textId="77777777" w:rsidR="00C47AA2" w:rsidRDefault="00C47AA2" w:rsidP="00F839AF">
      <w:pPr>
        <w:spacing w:after="0" w:line="240" w:lineRule="auto"/>
      </w:pPr>
      <w:r>
        <w:separator/>
      </w:r>
    </w:p>
  </w:footnote>
  <w:footnote w:type="continuationSeparator" w:id="0">
    <w:p w14:paraId="3B48367C" w14:textId="77777777" w:rsidR="00C47AA2" w:rsidRDefault="00C47AA2" w:rsidP="00F83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17BFD" w14:textId="7E2A1697" w:rsidR="00E8084E" w:rsidRDefault="006A4C85" w:rsidP="006A4C85">
    <w:pPr>
      <w:jc w:val="right"/>
    </w:pPr>
    <w:r w:rsidRPr="00744D85">
      <w:rPr>
        <w:i/>
        <w:iCs/>
        <w:sz w:val="20"/>
      </w:rPr>
      <w:t>Bhutto, Shaikh &amp;</w:t>
    </w:r>
    <w:r>
      <w:rPr>
        <w:i/>
        <w:iCs/>
        <w:sz w:val="20"/>
      </w:rPr>
      <w:t xml:space="preserve"> </w:t>
    </w:r>
    <w:r w:rsidRPr="0012413E">
      <w:rPr>
        <w:i/>
        <w:iCs/>
        <w:sz w:val="20"/>
      </w:rPr>
      <w:t>Karjaluoto</w:t>
    </w:r>
    <w:r w:rsidR="00E8084E">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5119"/>
      <w:gridCol w:w="5086"/>
    </w:tblGrid>
    <w:tr w:rsidR="00E8084E" w:rsidRPr="003540CD" w14:paraId="359FEA84" w14:textId="77777777" w:rsidTr="00F70FC1">
      <w:tc>
        <w:tcPr>
          <w:tcW w:w="5264" w:type="dxa"/>
          <w:shd w:val="clear" w:color="auto" w:fill="auto"/>
        </w:tcPr>
        <w:p w14:paraId="779B753D" w14:textId="60488463" w:rsidR="00E8084E" w:rsidRPr="00B55488" w:rsidRDefault="00E8084E" w:rsidP="008D417E">
          <w:pPr>
            <w:pStyle w:val="Header"/>
            <w:jc w:val="both"/>
            <w:rPr>
              <w:sz w:val="20"/>
              <w:lang w:val="en-US" w:eastAsia="zh-TW"/>
            </w:rPr>
          </w:pPr>
          <w:bookmarkStart w:id="10" w:name="_Hlk51607387"/>
          <w:r w:rsidRPr="0012413E">
            <w:rPr>
              <w:sz w:val="20"/>
              <w:lang w:val="fi-FI" w:eastAsia="zh-TW"/>
            </w:rPr>
            <w:t>Bhutto, M.H., Shaikh, A.A. &amp; Karjaluoto, H. (202</w:t>
          </w:r>
          <w:r>
            <w:rPr>
              <w:sz w:val="20"/>
              <w:lang w:val="fi-FI" w:eastAsia="zh-TW"/>
            </w:rPr>
            <w:t>2</w:t>
          </w:r>
          <w:r w:rsidRPr="0012413E">
            <w:rPr>
              <w:sz w:val="20"/>
              <w:lang w:val="fi-FI" w:eastAsia="zh-TW"/>
            </w:rPr>
            <w:t xml:space="preserve">). </w:t>
          </w:r>
          <w:r w:rsidR="008D417E" w:rsidRPr="008D417E">
            <w:rPr>
              <w:sz w:val="20"/>
              <w:lang w:val="en-US" w:eastAsia="zh-TW"/>
            </w:rPr>
            <w:t>Would you mind your language, please?</w:t>
          </w:r>
          <w:r w:rsidR="008D417E">
            <w:rPr>
              <w:sz w:val="20"/>
              <w:lang w:val="en-US" w:eastAsia="zh-TW"/>
            </w:rPr>
            <w:t xml:space="preserve"> </w:t>
          </w:r>
          <w:r w:rsidR="008D417E" w:rsidRPr="008D417E">
            <w:rPr>
              <w:sz w:val="20"/>
              <w:lang w:val="en-US" w:eastAsia="zh-TW"/>
            </w:rPr>
            <w:t>Consumer Incivility on Social Media Platform</w:t>
          </w:r>
          <w:r w:rsidR="00702B4B">
            <w:rPr>
              <w:sz w:val="20"/>
              <w:lang w:val="en-US" w:eastAsia="zh-TW"/>
            </w:rPr>
            <w:t>.</w:t>
          </w:r>
          <w:r w:rsidRPr="00B55488">
            <w:rPr>
              <w:sz w:val="20"/>
              <w:lang w:val="en-US" w:eastAsia="zh-TW"/>
            </w:rPr>
            <w:t xml:space="preserve"> </w:t>
          </w:r>
          <w:r w:rsidR="003A5C37" w:rsidRPr="003A5C37">
            <w:rPr>
              <w:sz w:val="20"/>
              <w:lang w:val="en-US" w:eastAsia="zh-TW"/>
            </w:rPr>
            <w:t xml:space="preserve">In </w:t>
          </w:r>
          <w:r w:rsidR="00377EA3" w:rsidRPr="00377EA3">
            <w:rPr>
              <w:i/>
              <w:sz w:val="20"/>
              <w:lang w:val="en-US" w:eastAsia="zh-TW"/>
            </w:rPr>
            <w:t xml:space="preserve">Proceedings of The International Conference on Electronic Business, Volume 22 </w:t>
          </w:r>
          <w:r w:rsidR="00377EA3" w:rsidRPr="00377EA3">
            <w:rPr>
              <w:iCs/>
              <w:sz w:val="20"/>
              <w:lang w:val="en-US" w:eastAsia="zh-TW"/>
            </w:rPr>
            <w:t>(pp. xxx-xxx). ICEB’22, Bangkok, Thailand, October 13-17, 2022.</w:t>
          </w:r>
        </w:p>
      </w:tc>
      <w:tc>
        <w:tcPr>
          <w:tcW w:w="5264" w:type="dxa"/>
          <w:shd w:val="clear" w:color="auto" w:fill="auto"/>
        </w:tcPr>
        <w:p w14:paraId="21EDAA03" w14:textId="5C13F876" w:rsidR="00E8084E" w:rsidRPr="00B55488" w:rsidRDefault="00E8084E" w:rsidP="006740CC">
          <w:pPr>
            <w:pStyle w:val="Header"/>
            <w:wordWrap w:val="0"/>
            <w:jc w:val="right"/>
            <w:rPr>
              <w:i/>
              <w:sz w:val="20"/>
              <w:lang w:val="en-US" w:eastAsia="zh-TW"/>
            </w:rPr>
          </w:pPr>
          <w:r w:rsidRPr="00744D85">
            <w:rPr>
              <w:i/>
              <w:iCs/>
              <w:sz w:val="20"/>
              <w:lang w:val="en-US" w:eastAsia="zh-TW"/>
            </w:rPr>
            <w:t>Bhutto, Shaikh &amp;</w:t>
          </w:r>
          <w:r>
            <w:rPr>
              <w:i/>
              <w:iCs/>
              <w:sz w:val="20"/>
              <w:lang w:val="en-US" w:eastAsia="zh-TW"/>
            </w:rPr>
            <w:t xml:space="preserve"> </w:t>
          </w:r>
          <w:r w:rsidRPr="0012413E">
            <w:rPr>
              <w:i/>
              <w:iCs/>
              <w:sz w:val="20"/>
              <w:lang w:val="en-US" w:eastAsia="zh-TW"/>
            </w:rPr>
            <w:t>Karjaluoto</w:t>
          </w:r>
        </w:p>
      </w:tc>
    </w:tr>
    <w:bookmarkEnd w:id="10"/>
  </w:tbl>
  <w:p w14:paraId="52F490FC" w14:textId="77777777" w:rsidR="00E8084E" w:rsidRPr="00CF7E52" w:rsidRDefault="00E8084E">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52323"/>
    <w:multiLevelType w:val="hybridMultilevel"/>
    <w:tmpl w:val="757A4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44FC2"/>
    <w:multiLevelType w:val="hybridMultilevel"/>
    <w:tmpl w:val="3B409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F1239"/>
    <w:multiLevelType w:val="multilevel"/>
    <w:tmpl w:val="99AE2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B2DFE"/>
    <w:multiLevelType w:val="hybridMultilevel"/>
    <w:tmpl w:val="36445156"/>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9A1B6E"/>
    <w:multiLevelType w:val="multilevel"/>
    <w:tmpl w:val="0C58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A77E00"/>
    <w:multiLevelType w:val="hybridMultilevel"/>
    <w:tmpl w:val="043EFEA0"/>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402BA1"/>
    <w:multiLevelType w:val="multilevel"/>
    <w:tmpl w:val="10B68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313AFA"/>
    <w:multiLevelType w:val="hybridMultilevel"/>
    <w:tmpl w:val="83DAD9A4"/>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5408FC"/>
    <w:multiLevelType w:val="multilevel"/>
    <w:tmpl w:val="D584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4E0186"/>
    <w:multiLevelType w:val="multilevel"/>
    <w:tmpl w:val="5622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552323"/>
    <w:multiLevelType w:val="hybridMultilevel"/>
    <w:tmpl w:val="4BEC0022"/>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6215BC"/>
    <w:multiLevelType w:val="hybridMultilevel"/>
    <w:tmpl w:val="F97EE1E0"/>
    <w:lvl w:ilvl="0" w:tplc="0ECE54E6">
      <w:start w:val="1"/>
      <w:numFmt w:val="bullet"/>
      <w:lvlText w:val=""/>
      <w:lvlJc w:val="left"/>
      <w:pPr>
        <w:tabs>
          <w:tab w:val="num" w:pos="720"/>
        </w:tabs>
        <w:ind w:left="720" w:hanging="360"/>
      </w:pPr>
      <w:rPr>
        <w:rFonts w:ascii="Symbol" w:hAnsi="Symbol" w:hint="default"/>
      </w:rPr>
    </w:lvl>
    <w:lvl w:ilvl="1" w:tplc="8D6A8972" w:tentative="1">
      <w:start w:val="1"/>
      <w:numFmt w:val="bullet"/>
      <w:lvlText w:val=""/>
      <w:lvlJc w:val="left"/>
      <w:pPr>
        <w:tabs>
          <w:tab w:val="num" w:pos="1440"/>
        </w:tabs>
        <w:ind w:left="1440" w:hanging="360"/>
      </w:pPr>
      <w:rPr>
        <w:rFonts w:ascii="Symbol" w:hAnsi="Symbol" w:hint="default"/>
      </w:rPr>
    </w:lvl>
    <w:lvl w:ilvl="2" w:tplc="43AA5564" w:tentative="1">
      <w:start w:val="1"/>
      <w:numFmt w:val="bullet"/>
      <w:lvlText w:val=""/>
      <w:lvlJc w:val="left"/>
      <w:pPr>
        <w:tabs>
          <w:tab w:val="num" w:pos="2160"/>
        </w:tabs>
        <w:ind w:left="2160" w:hanging="360"/>
      </w:pPr>
      <w:rPr>
        <w:rFonts w:ascii="Symbol" w:hAnsi="Symbol" w:hint="default"/>
      </w:rPr>
    </w:lvl>
    <w:lvl w:ilvl="3" w:tplc="43C091D2" w:tentative="1">
      <w:start w:val="1"/>
      <w:numFmt w:val="bullet"/>
      <w:lvlText w:val=""/>
      <w:lvlJc w:val="left"/>
      <w:pPr>
        <w:tabs>
          <w:tab w:val="num" w:pos="2880"/>
        </w:tabs>
        <w:ind w:left="2880" w:hanging="360"/>
      </w:pPr>
      <w:rPr>
        <w:rFonts w:ascii="Symbol" w:hAnsi="Symbol" w:hint="default"/>
      </w:rPr>
    </w:lvl>
    <w:lvl w:ilvl="4" w:tplc="D18C78AE" w:tentative="1">
      <w:start w:val="1"/>
      <w:numFmt w:val="bullet"/>
      <w:lvlText w:val=""/>
      <w:lvlJc w:val="left"/>
      <w:pPr>
        <w:tabs>
          <w:tab w:val="num" w:pos="3600"/>
        </w:tabs>
        <w:ind w:left="3600" w:hanging="360"/>
      </w:pPr>
      <w:rPr>
        <w:rFonts w:ascii="Symbol" w:hAnsi="Symbol" w:hint="default"/>
      </w:rPr>
    </w:lvl>
    <w:lvl w:ilvl="5" w:tplc="2D8E2E26" w:tentative="1">
      <w:start w:val="1"/>
      <w:numFmt w:val="bullet"/>
      <w:lvlText w:val=""/>
      <w:lvlJc w:val="left"/>
      <w:pPr>
        <w:tabs>
          <w:tab w:val="num" w:pos="4320"/>
        </w:tabs>
        <w:ind w:left="4320" w:hanging="360"/>
      </w:pPr>
      <w:rPr>
        <w:rFonts w:ascii="Symbol" w:hAnsi="Symbol" w:hint="default"/>
      </w:rPr>
    </w:lvl>
    <w:lvl w:ilvl="6" w:tplc="D9E6CF0A" w:tentative="1">
      <w:start w:val="1"/>
      <w:numFmt w:val="bullet"/>
      <w:lvlText w:val=""/>
      <w:lvlJc w:val="left"/>
      <w:pPr>
        <w:tabs>
          <w:tab w:val="num" w:pos="5040"/>
        </w:tabs>
        <w:ind w:left="5040" w:hanging="360"/>
      </w:pPr>
      <w:rPr>
        <w:rFonts w:ascii="Symbol" w:hAnsi="Symbol" w:hint="default"/>
      </w:rPr>
    </w:lvl>
    <w:lvl w:ilvl="7" w:tplc="2A0EE49C" w:tentative="1">
      <w:start w:val="1"/>
      <w:numFmt w:val="bullet"/>
      <w:lvlText w:val=""/>
      <w:lvlJc w:val="left"/>
      <w:pPr>
        <w:tabs>
          <w:tab w:val="num" w:pos="5760"/>
        </w:tabs>
        <w:ind w:left="5760" w:hanging="360"/>
      </w:pPr>
      <w:rPr>
        <w:rFonts w:ascii="Symbol" w:hAnsi="Symbol" w:hint="default"/>
      </w:rPr>
    </w:lvl>
    <w:lvl w:ilvl="8" w:tplc="C602E478"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7753DEB"/>
    <w:multiLevelType w:val="hybridMultilevel"/>
    <w:tmpl w:val="6700CD1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3BBB4014"/>
    <w:multiLevelType w:val="hybridMultilevel"/>
    <w:tmpl w:val="8A80E0FC"/>
    <w:lvl w:ilvl="0" w:tplc="AB98644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41D4595"/>
    <w:multiLevelType w:val="hybridMultilevel"/>
    <w:tmpl w:val="72943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B21F49"/>
    <w:multiLevelType w:val="hybridMultilevel"/>
    <w:tmpl w:val="F796C4F4"/>
    <w:lvl w:ilvl="0" w:tplc="3E3E2618">
      <w:start w:val="1"/>
      <w:numFmt w:val="bullet"/>
      <w:lvlText w:val=""/>
      <w:lvlJc w:val="left"/>
      <w:pPr>
        <w:tabs>
          <w:tab w:val="num" w:pos="360"/>
        </w:tabs>
        <w:ind w:left="360" w:hanging="360"/>
      </w:pPr>
      <w:rPr>
        <w:rFonts w:ascii="Symbol" w:hAnsi="Symbol" w:hint="default"/>
      </w:rPr>
    </w:lvl>
    <w:lvl w:ilvl="1" w:tplc="EDC68988" w:tentative="1">
      <w:start w:val="1"/>
      <w:numFmt w:val="bullet"/>
      <w:lvlText w:val=""/>
      <w:lvlJc w:val="left"/>
      <w:pPr>
        <w:tabs>
          <w:tab w:val="num" w:pos="1080"/>
        </w:tabs>
        <w:ind w:left="1080" w:hanging="360"/>
      </w:pPr>
      <w:rPr>
        <w:rFonts w:ascii="Symbol" w:hAnsi="Symbol" w:hint="default"/>
      </w:rPr>
    </w:lvl>
    <w:lvl w:ilvl="2" w:tplc="B43E6026" w:tentative="1">
      <w:start w:val="1"/>
      <w:numFmt w:val="bullet"/>
      <w:lvlText w:val=""/>
      <w:lvlJc w:val="left"/>
      <w:pPr>
        <w:tabs>
          <w:tab w:val="num" w:pos="1800"/>
        </w:tabs>
        <w:ind w:left="1800" w:hanging="360"/>
      </w:pPr>
      <w:rPr>
        <w:rFonts w:ascii="Symbol" w:hAnsi="Symbol" w:hint="default"/>
      </w:rPr>
    </w:lvl>
    <w:lvl w:ilvl="3" w:tplc="0D76E7B4" w:tentative="1">
      <w:start w:val="1"/>
      <w:numFmt w:val="bullet"/>
      <w:lvlText w:val=""/>
      <w:lvlJc w:val="left"/>
      <w:pPr>
        <w:tabs>
          <w:tab w:val="num" w:pos="2520"/>
        </w:tabs>
        <w:ind w:left="2520" w:hanging="360"/>
      </w:pPr>
      <w:rPr>
        <w:rFonts w:ascii="Symbol" w:hAnsi="Symbol" w:hint="default"/>
      </w:rPr>
    </w:lvl>
    <w:lvl w:ilvl="4" w:tplc="7414A848" w:tentative="1">
      <w:start w:val="1"/>
      <w:numFmt w:val="bullet"/>
      <w:lvlText w:val=""/>
      <w:lvlJc w:val="left"/>
      <w:pPr>
        <w:tabs>
          <w:tab w:val="num" w:pos="3240"/>
        </w:tabs>
        <w:ind w:left="3240" w:hanging="360"/>
      </w:pPr>
      <w:rPr>
        <w:rFonts w:ascii="Symbol" w:hAnsi="Symbol" w:hint="default"/>
      </w:rPr>
    </w:lvl>
    <w:lvl w:ilvl="5" w:tplc="6FCA1B98" w:tentative="1">
      <w:start w:val="1"/>
      <w:numFmt w:val="bullet"/>
      <w:lvlText w:val=""/>
      <w:lvlJc w:val="left"/>
      <w:pPr>
        <w:tabs>
          <w:tab w:val="num" w:pos="3960"/>
        </w:tabs>
        <w:ind w:left="3960" w:hanging="360"/>
      </w:pPr>
      <w:rPr>
        <w:rFonts w:ascii="Symbol" w:hAnsi="Symbol" w:hint="default"/>
      </w:rPr>
    </w:lvl>
    <w:lvl w:ilvl="6" w:tplc="FB5CB34E" w:tentative="1">
      <w:start w:val="1"/>
      <w:numFmt w:val="bullet"/>
      <w:lvlText w:val=""/>
      <w:lvlJc w:val="left"/>
      <w:pPr>
        <w:tabs>
          <w:tab w:val="num" w:pos="4680"/>
        </w:tabs>
        <w:ind w:left="4680" w:hanging="360"/>
      </w:pPr>
      <w:rPr>
        <w:rFonts w:ascii="Symbol" w:hAnsi="Symbol" w:hint="default"/>
      </w:rPr>
    </w:lvl>
    <w:lvl w:ilvl="7" w:tplc="2982CF82" w:tentative="1">
      <w:start w:val="1"/>
      <w:numFmt w:val="bullet"/>
      <w:lvlText w:val=""/>
      <w:lvlJc w:val="left"/>
      <w:pPr>
        <w:tabs>
          <w:tab w:val="num" w:pos="5400"/>
        </w:tabs>
        <w:ind w:left="5400" w:hanging="360"/>
      </w:pPr>
      <w:rPr>
        <w:rFonts w:ascii="Symbol" w:hAnsi="Symbol" w:hint="default"/>
      </w:rPr>
    </w:lvl>
    <w:lvl w:ilvl="8" w:tplc="3C700030" w:tentative="1">
      <w:start w:val="1"/>
      <w:numFmt w:val="bullet"/>
      <w:lvlText w:val=""/>
      <w:lvlJc w:val="left"/>
      <w:pPr>
        <w:tabs>
          <w:tab w:val="num" w:pos="6120"/>
        </w:tabs>
        <w:ind w:left="6120" w:hanging="360"/>
      </w:pPr>
      <w:rPr>
        <w:rFonts w:ascii="Symbol" w:hAnsi="Symbol" w:hint="default"/>
      </w:rPr>
    </w:lvl>
  </w:abstractNum>
  <w:abstractNum w:abstractNumId="16" w15:restartNumberingAfterBreak="0">
    <w:nsid w:val="480E16F1"/>
    <w:multiLevelType w:val="hybridMultilevel"/>
    <w:tmpl w:val="B82CF71E"/>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A551DA"/>
    <w:multiLevelType w:val="hybridMultilevel"/>
    <w:tmpl w:val="B386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7E495B"/>
    <w:multiLevelType w:val="hybridMultilevel"/>
    <w:tmpl w:val="E4E84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24C86"/>
    <w:multiLevelType w:val="hybridMultilevel"/>
    <w:tmpl w:val="D52A37EA"/>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F627B6"/>
    <w:multiLevelType w:val="hybridMultilevel"/>
    <w:tmpl w:val="8C96DDD4"/>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EF34AA"/>
    <w:multiLevelType w:val="hybridMultilevel"/>
    <w:tmpl w:val="2B3E720C"/>
    <w:lvl w:ilvl="0" w:tplc="E1CE57C6">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810E00"/>
    <w:multiLevelType w:val="hybridMultilevel"/>
    <w:tmpl w:val="C824C8F2"/>
    <w:lvl w:ilvl="0" w:tplc="93BAC94A">
      <w:start w:val="3"/>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F50736"/>
    <w:multiLevelType w:val="hybridMultilevel"/>
    <w:tmpl w:val="91C01FD4"/>
    <w:lvl w:ilvl="0" w:tplc="7298984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A53A43"/>
    <w:multiLevelType w:val="hybridMultilevel"/>
    <w:tmpl w:val="1590A934"/>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ED76B2"/>
    <w:multiLevelType w:val="hybridMultilevel"/>
    <w:tmpl w:val="956E2C82"/>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260DB6"/>
    <w:multiLevelType w:val="hybridMultilevel"/>
    <w:tmpl w:val="462EAD82"/>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C660B5"/>
    <w:multiLevelType w:val="hybridMultilevel"/>
    <w:tmpl w:val="92EE5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F3160B"/>
    <w:multiLevelType w:val="hybridMultilevel"/>
    <w:tmpl w:val="1658747A"/>
    <w:lvl w:ilvl="0" w:tplc="7298984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AC6573E"/>
    <w:multiLevelType w:val="hybridMultilevel"/>
    <w:tmpl w:val="F4143A4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FD530E"/>
    <w:multiLevelType w:val="hybridMultilevel"/>
    <w:tmpl w:val="A96E5A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DBB52C7"/>
    <w:multiLevelType w:val="hybridMultilevel"/>
    <w:tmpl w:val="1CCC419A"/>
    <w:lvl w:ilvl="0" w:tplc="A412C93E">
      <w:start w:val="1"/>
      <w:numFmt w:val="decimal"/>
      <w:lvlText w:val="%1"/>
      <w:lvlJc w:val="left"/>
      <w:pPr>
        <w:ind w:left="960" w:hanging="60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5A6A73"/>
    <w:multiLevelType w:val="hybridMultilevel"/>
    <w:tmpl w:val="3778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13"/>
  </w:num>
  <w:num w:numId="4">
    <w:abstractNumId w:val="30"/>
  </w:num>
  <w:num w:numId="5">
    <w:abstractNumId w:val="9"/>
  </w:num>
  <w:num w:numId="6">
    <w:abstractNumId w:val="28"/>
  </w:num>
  <w:num w:numId="7">
    <w:abstractNumId w:val="32"/>
  </w:num>
  <w:num w:numId="8">
    <w:abstractNumId w:val="17"/>
  </w:num>
  <w:num w:numId="9">
    <w:abstractNumId w:val="0"/>
  </w:num>
  <w:num w:numId="10">
    <w:abstractNumId w:val="18"/>
  </w:num>
  <w:num w:numId="11">
    <w:abstractNumId w:val="1"/>
  </w:num>
  <w:num w:numId="12">
    <w:abstractNumId w:val="27"/>
  </w:num>
  <w:num w:numId="13">
    <w:abstractNumId w:val="23"/>
  </w:num>
  <w:num w:numId="14">
    <w:abstractNumId w:val="11"/>
  </w:num>
  <w:num w:numId="15">
    <w:abstractNumId w:val="15"/>
  </w:num>
  <w:num w:numId="16">
    <w:abstractNumId w:val="14"/>
  </w:num>
  <w:num w:numId="17">
    <w:abstractNumId w:val="5"/>
  </w:num>
  <w:num w:numId="18">
    <w:abstractNumId w:val="26"/>
  </w:num>
  <w:num w:numId="19">
    <w:abstractNumId w:val="20"/>
  </w:num>
  <w:num w:numId="20">
    <w:abstractNumId w:val="19"/>
  </w:num>
  <w:num w:numId="21">
    <w:abstractNumId w:val="16"/>
  </w:num>
  <w:num w:numId="22">
    <w:abstractNumId w:val="25"/>
  </w:num>
  <w:num w:numId="23">
    <w:abstractNumId w:val="24"/>
  </w:num>
  <w:num w:numId="24">
    <w:abstractNumId w:val="10"/>
  </w:num>
  <w:num w:numId="25">
    <w:abstractNumId w:val="7"/>
  </w:num>
  <w:num w:numId="26">
    <w:abstractNumId w:val="3"/>
  </w:num>
  <w:num w:numId="27">
    <w:abstractNumId w:val="31"/>
  </w:num>
  <w:num w:numId="28">
    <w:abstractNumId w:val="22"/>
  </w:num>
  <w:num w:numId="29">
    <w:abstractNumId w:val="4"/>
  </w:num>
  <w:num w:numId="30">
    <w:abstractNumId w:val="8"/>
  </w:num>
  <w:num w:numId="31">
    <w:abstractNumId w:val="6"/>
  </w:num>
  <w:num w:numId="32">
    <w:abstractNumId w:val="2"/>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defaultTabStop w:val="720"/>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gACEwszUxNLSwMjSyUdpeDU4uLM/DyQAvNaAGZIDNcsAAAA"/>
  </w:docVars>
  <w:rsids>
    <w:rsidRoot w:val="00F839AF"/>
    <w:rsid w:val="000015BE"/>
    <w:rsid w:val="00004202"/>
    <w:rsid w:val="0000497E"/>
    <w:rsid w:val="00004D6D"/>
    <w:rsid w:val="000053FA"/>
    <w:rsid w:val="00006A16"/>
    <w:rsid w:val="00007AAA"/>
    <w:rsid w:val="00010EE8"/>
    <w:rsid w:val="00011FC8"/>
    <w:rsid w:val="00012280"/>
    <w:rsid w:val="0001239D"/>
    <w:rsid w:val="000124A1"/>
    <w:rsid w:val="000124F2"/>
    <w:rsid w:val="00012E20"/>
    <w:rsid w:val="00013725"/>
    <w:rsid w:val="0001702F"/>
    <w:rsid w:val="00017200"/>
    <w:rsid w:val="00024BFE"/>
    <w:rsid w:val="00026079"/>
    <w:rsid w:val="000268D1"/>
    <w:rsid w:val="00026B6E"/>
    <w:rsid w:val="00027F17"/>
    <w:rsid w:val="00030DE0"/>
    <w:rsid w:val="00033710"/>
    <w:rsid w:val="00034F4C"/>
    <w:rsid w:val="00035412"/>
    <w:rsid w:val="00036DBC"/>
    <w:rsid w:val="000407F0"/>
    <w:rsid w:val="00041B87"/>
    <w:rsid w:val="00042BC7"/>
    <w:rsid w:val="00044ED0"/>
    <w:rsid w:val="0004670E"/>
    <w:rsid w:val="00046863"/>
    <w:rsid w:val="0004788B"/>
    <w:rsid w:val="00051B19"/>
    <w:rsid w:val="000531E8"/>
    <w:rsid w:val="00054C3D"/>
    <w:rsid w:val="000556BA"/>
    <w:rsid w:val="00057157"/>
    <w:rsid w:val="000575B4"/>
    <w:rsid w:val="00057C5D"/>
    <w:rsid w:val="00057DAC"/>
    <w:rsid w:val="000608C6"/>
    <w:rsid w:val="00060AFF"/>
    <w:rsid w:val="00061E4D"/>
    <w:rsid w:val="00062572"/>
    <w:rsid w:val="00065339"/>
    <w:rsid w:val="00065BF1"/>
    <w:rsid w:val="00066791"/>
    <w:rsid w:val="00070008"/>
    <w:rsid w:val="00070C28"/>
    <w:rsid w:val="000743AC"/>
    <w:rsid w:val="000743D0"/>
    <w:rsid w:val="00074B4F"/>
    <w:rsid w:val="00076D03"/>
    <w:rsid w:val="00076EE3"/>
    <w:rsid w:val="00076F33"/>
    <w:rsid w:val="00077236"/>
    <w:rsid w:val="00080B93"/>
    <w:rsid w:val="00080F4A"/>
    <w:rsid w:val="00081A09"/>
    <w:rsid w:val="00081B77"/>
    <w:rsid w:val="00083C2A"/>
    <w:rsid w:val="00084D03"/>
    <w:rsid w:val="000859FF"/>
    <w:rsid w:val="00086B50"/>
    <w:rsid w:val="00086EEA"/>
    <w:rsid w:val="00090B42"/>
    <w:rsid w:val="00093200"/>
    <w:rsid w:val="0009433C"/>
    <w:rsid w:val="00096E88"/>
    <w:rsid w:val="000A1EC9"/>
    <w:rsid w:val="000A2E19"/>
    <w:rsid w:val="000A31A5"/>
    <w:rsid w:val="000A42AB"/>
    <w:rsid w:val="000A4BEB"/>
    <w:rsid w:val="000A5C67"/>
    <w:rsid w:val="000A5D30"/>
    <w:rsid w:val="000B02B0"/>
    <w:rsid w:val="000B17B5"/>
    <w:rsid w:val="000B1C32"/>
    <w:rsid w:val="000B2090"/>
    <w:rsid w:val="000B3A69"/>
    <w:rsid w:val="000B3BA0"/>
    <w:rsid w:val="000B4A96"/>
    <w:rsid w:val="000B65E0"/>
    <w:rsid w:val="000B7CDD"/>
    <w:rsid w:val="000C0D9E"/>
    <w:rsid w:val="000C11CF"/>
    <w:rsid w:val="000D0689"/>
    <w:rsid w:val="000D13B2"/>
    <w:rsid w:val="000D1C5D"/>
    <w:rsid w:val="000D4990"/>
    <w:rsid w:val="000D5851"/>
    <w:rsid w:val="000D7B09"/>
    <w:rsid w:val="000E270D"/>
    <w:rsid w:val="000E6A55"/>
    <w:rsid w:val="000E746C"/>
    <w:rsid w:val="000F03CB"/>
    <w:rsid w:val="000F0CBF"/>
    <w:rsid w:val="000F18E6"/>
    <w:rsid w:val="000F24D4"/>
    <w:rsid w:val="000F251D"/>
    <w:rsid w:val="000F38FC"/>
    <w:rsid w:val="000F486D"/>
    <w:rsid w:val="000F53D8"/>
    <w:rsid w:val="000F760F"/>
    <w:rsid w:val="000F7CA6"/>
    <w:rsid w:val="00101C1F"/>
    <w:rsid w:val="0010268D"/>
    <w:rsid w:val="00103531"/>
    <w:rsid w:val="00103693"/>
    <w:rsid w:val="00103B16"/>
    <w:rsid w:val="001062C0"/>
    <w:rsid w:val="00106CA7"/>
    <w:rsid w:val="00110A57"/>
    <w:rsid w:val="00110E3F"/>
    <w:rsid w:val="001141BB"/>
    <w:rsid w:val="00116639"/>
    <w:rsid w:val="001171AE"/>
    <w:rsid w:val="00123EA1"/>
    <w:rsid w:val="0012413E"/>
    <w:rsid w:val="00125D1F"/>
    <w:rsid w:val="0012797B"/>
    <w:rsid w:val="001279CF"/>
    <w:rsid w:val="00127DA3"/>
    <w:rsid w:val="00127F6D"/>
    <w:rsid w:val="0013137E"/>
    <w:rsid w:val="001314EC"/>
    <w:rsid w:val="00131AFB"/>
    <w:rsid w:val="00136394"/>
    <w:rsid w:val="001369A8"/>
    <w:rsid w:val="00136D45"/>
    <w:rsid w:val="00137069"/>
    <w:rsid w:val="0014025F"/>
    <w:rsid w:val="001412A7"/>
    <w:rsid w:val="001431D2"/>
    <w:rsid w:val="001439DB"/>
    <w:rsid w:val="00143E20"/>
    <w:rsid w:val="00144248"/>
    <w:rsid w:val="001464EE"/>
    <w:rsid w:val="001477A1"/>
    <w:rsid w:val="0015089B"/>
    <w:rsid w:val="0015159A"/>
    <w:rsid w:val="001560CF"/>
    <w:rsid w:val="0016165E"/>
    <w:rsid w:val="001623DD"/>
    <w:rsid w:val="00165E1D"/>
    <w:rsid w:val="0016687F"/>
    <w:rsid w:val="00167E70"/>
    <w:rsid w:val="00170308"/>
    <w:rsid w:val="00172219"/>
    <w:rsid w:val="00173168"/>
    <w:rsid w:val="00173433"/>
    <w:rsid w:val="00175543"/>
    <w:rsid w:val="00182D02"/>
    <w:rsid w:val="00184E52"/>
    <w:rsid w:val="00186BB7"/>
    <w:rsid w:val="00187B9F"/>
    <w:rsid w:val="001904B8"/>
    <w:rsid w:val="00190DBC"/>
    <w:rsid w:val="00190FC4"/>
    <w:rsid w:val="0019143C"/>
    <w:rsid w:val="00191FF1"/>
    <w:rsid w:val="0019329F"/>
    <w:rsid w:val="00195807"/>
    <w:rsid w:val="001968E8"/>
    <w:rsid w:val="00196BEF"/>
    <w:rsid w:val="001A07BD"/>
    <w:rsid w:val="001A32C2"/>
    <w:rsid w:val="001A5720"/>
    <w:rsid w:val="001A7A68"/>
    <w:rsid w:val="001B0662"/>
    <w:rsid w:val="001B6E78"/>
    <w:rsid w:val="001C1768"/>
    <w:rsid w:val="001C2BF7"/>
    <w:rsid w:val="001C56BF"/>
    <w:rsid w:val="001C5EF5"/>
    <w:rsid w:val="001C623D"/>
    <w:rsid w:val="001C700C"/>
    <w:rsid w:val="001D0808"/>
    <w:rsid w:val="001D1CE8"/>
    <w:rsid w:val="001D2C0E"/>
    <w:rsid w:val="001D36EA"/>
    <w:rsid w:val="001D3885"/>
    <w:rsid w:val="001D6337"/>
    <w:rsid w:val="001E0CE6"/>
    <w:rsid w:val="001E136E"/>
    <w:rsid w:val="001E1EBB"/>
    <w:rsid w:val="001E2339"/>
    <w:rsid w:val="001E6F04"/>
    <w:rsid w:val="001F0148"/>
    <w:rsid w:val="001F2631"/>
    <w:rsid w:val="00204339"/>
    <w:rsid w:val="002044C0"/>
    <w:rsid w:val="00204972"/>
    <w:rsid w:val="0021083C"/>
    <w:rsid w:val="00213B2C"/>
    <w:rsid w:val="00213D3D"/>
    <w:rsid w:val="0021490C"/>
    <w:rsid w:val="00215DE4"/>
    <w:rsid w:val="00216173"/>
    <w:rsid w:val="002167CB"/>
    <w:rsid w:val="002175B4"/>
    <w:rsid w:val="00220B14"/>
    <w:rsid w:val="00221083"/>
    <w:rsid w:val="00223B83"/>
    <w:rsid w:val="00223CDD"/>
    <w:rsid w:val="002318C7"/>
    <w:rsid w:val="00232358"/>
    <w:rsid w:val="00234716"/>
    <w:rsid w:val="00234E03"/>
    <w:rsid w:val="00236227"/>
    <w:rsid w:val="00240447"/>
    <w:rsid w:val="00240726"/>
    <w:rsid w:val="00240D8B"/>
    <w:rsid w:val="00241108"/>
    <w:rsid w:val="00242FB7"/>
    <w:rsid w:val="00245B70"/>
    <w:rsid w:val="0024670D"/>
    <w:rsid w:val="0025479D"/>
    <w:rsid w:val="00254C01"/>
    <w:rsid w:val="00255411"/>
    <w:rsid w:val="00255E18"/>
    <w:rsid w:val="0026486F"/>
    <w:rsid w:val="00271167"/>
    <w:rsid w:val="00274941"/>
    <w:rsid w:val="00274959"/>
    <w:rsid w:val="002756D2"/>
    <w:rsid w:val="00275954"/>
    <w:rsid w:val="00277C9F"/>
    <w:rsid w:val="0028061C"/>
    <w:rsid w:val="0028183B"/>
    <w:rsid w:val="00281E37"/>
    <w:rsid w:val="00283E4F"/>
    <w:rsid w:val="00285BEC"/>
    <w:rsid w:val="00290404"/>
    <w:rsid w:val="00292C96"/>
    <w:rsid w:val="002939D9"/>
    <w:rsid w:val="00293F87"/>
    <w:rsid w:val="00294FE0"/>
    <w:rsid w:val="00296887"/>
    <w:rsid w:val="002A000D"/>
    <w:rsid w:val="002A0EC3"/>
    <w:rsid w:val="002A1E7C"/>
    <w:rsid w:val="002A2385"/>
    <w:rsid w:val="002A3CD9"/>
    <w:rsid w:val="002A3D32"/>
    <w:rsid w:val="002A4084"/>
    <w:rsid w:val="002A569A"/>
    <w:rsid w:val="002A5CEE"/>
    <w:rsid w:val="002A68CE"/>
    <w:rsid w:val="002A729F"/>
    <w:rsid w:val="002B246B"/>
    <w:rsid w:val="002B4435"/>
    <w:rsid w:val="002B49D4"/>
    <w:rsid w:val="002B5E93"/>
    <w:rsid w:val="002B7311"/>
    <w:rsid w:val="002B766B"/>
    <w:rsid w:val="002C1299"/>
    <w:rsid w:val="002C1C48"/>
    <w:rsid w:val="002C23A4"/>
    <w:rsid w:val="002C3960"/>
    <w:rsid w:val="002C730E"/>
    <w:rsid w:val="002D1248"/>
    <w:rsid w:val="002D2062"/>
    <w:rsid w:val="002E03D4"/>
    <w:rsid w:val="002E1C82"/>
    <w:rsid w:val="002E273A"/>
    <w:rsid w:val="002E35F6"/>
    <w:rsid w:val="002E6C48"/>
    <w:rsid w:val="002E7C05"/>
    <w:rsid w:val="002F094B"/>
    <w:rsid w:val="002F28E7"/>
    <w:rsid w:val="002F3425"/>
    <w:rsid w:val="002F7D59"/>
    <w:rsid w:val="003002C7"/>
    <w:rsid w:val="00300B97"/>
    <w:rsid w:val="0030159D"/>
    <w:rsid w:val="0030300D"/>
    <w:rsid w:val="00303106"/>
    <w:rsid w:val="003058F3"/>
    <w:rsid w:val="00305E63"/>
    <w:rsid w:val="00306023"/>
    <w:rsid w:val="0030617E"/>
    <w:rsid w:val="0030642E"/>
    <w:rsid w:val="00311A92"/>
    <w:rsid w:val="00311EA3"/>
    <w:rsid w:val="00311F52"/>
    <w:rsid w:val="003127B0"/>
    <w:rsid w:val="0032097B"/>
    <w:rsid w:val="00321582"/>
    <w:rsid w:val="00322670"/>
    <w:rsid w:val="00323F4B"/>
    <w:rsid w:val="003245B9"/>
    <w:rsid w:val="00324720"/>
    <w:rsid w:val="003247E8"/>
    <w:rsid w:val="003249D7"/>
    <w:rsid w:val="0032577E"/>
    <w:rsid w:val="00325C70"/>
    <w:rsid w:val="003301DB"/>
    <w:rsid w:val="00330320"/>
    <w:rsid w:val="0033036C"/>
    <w:rsid w:val="00333346"/>
    <w:rsid w:val="00334A13"/>
    <w:rsid w:val="00335816"/>
    <w:rsid w:val="003365CD"/>
    <w:rsid w:val="003368B7"/>
    <w:rsid w:val="00337092"/>
    <w:rsid w:val="00337649"/>
    <w:rsid w:val="00340123"/>
    <w:rsid w:val="00342D6E"/>
    <w:rsid w:val="00346667"/>
    <w:rsid w:val="00347CE4"/>
    <w:rsid w:val="0035218C"/>
    <w:rsid w:val="00352B09"/>
    <w:rsid w:val="00352E65"/>
    <w:rsid w:val="003540CD"/>
    <w:rsid w:val="00354BF5"/>
    <w:rsid w:val="00354E1B"/>
    <w:rsid w:val="00354F39"/>
    <w:rsid w:val="00357198"/>
    <w:rsid w:val="00357BF2"/>
    <w:rsid w:val="00360D06"/>
    <w:rsid w:val="00360EB7"/>
    <w:rsid w:val="003616FE"/>
    <w:rsid w:val="00362F4B"/>
    <w:rsid w:val="00363278"/>
    <w:rsid w:val="003647F0"/>
    <w:rsid w:val="0036531C"/>
    <w:rsid w:val="00365415"/>
    <w:rsid w:val="00366759"/>
    <w:rsid w:val="00367241"/>
    <w:rsid w:val="00370752"/>
    <w:rsid w:val="003715AA"/>
    <w:rsid w:val="00371B0C"/>
    <w:rsid w:val="00372D66"/>
    <w:rsid w:val="0037470E"/>
    <w:rsid w:val="00377EA3"/>
    <w:rsid w:val="00380443"/>
    <w:rsid w:val="00383CBD"/>
    <w:rsid w:val="003849F4"/>
    <w:rsid w:val="00385FE1"/>
    <w:rsid w:val="003879D0"/>
    <w:rsid w:val="003903B6"/>
    <w:rsid w:val="00392878"/>
    <w:rsid w:val="003965AB"/>
    <w:rsid w:val="00397109"/>
    <w:rsid w:val="00397778"/>
    <w:rsid w:val="003A13AC"/>
    <w:rsid w:val="003A2F71"/>
    <w:rsid w:val="003A4864"/>
    <w:rsid w:val="003A4B1C"/>
    <w:rsid w:val="003A5C37"/>
    <w:rsid w:val="003A690A"/>
    <w:rsid w:val="003A6FA6"/>
    <w:rsid w:val="003B14A4"/>
    <w:rsid w:val="003B1BDF"/>
    <w:rsid w:val="003B26C7"/>
    <w:rsid w:val="003B40EF"/>
    <w:rsid w:val="003B513F"/>
    <w:rsid w:val="003B5C4E"/>
    <w:rsid w:val="003B6953"/>
    <w:rsid w:val="003B75A7"/>
    <w:rsid w:val="003C1748"/>
    <w:rsid w:val="003C17FC"/>
    <w:rsid w:val="003C1AE5"/>
    <w:rsid w:val="003C2042"/>
    <w:rsid w:val="003C2057"/>
    <w:rsid w:val="003C2DA7"/>
    <w:rsid w:val="003C3137"/>
    <w:rsid w:val="003C561C"/>
    <w:rsid w:val="003C6892"/>
    <w:rsid w:val="003C7CE0"/>
    <w:rsid w:val="003D20B2"/>
    <w:rsid w:val="003D36A8"/>
    <w:rsid w:val="003D5718"/>
    <w:rsid w:val="003D581A"/>
    <w:rsid w:val="003D6375"/>
    <w:rsid w:val="003E120A"/>
    <w:rsid w:val="003E2F76"/>
    <w:rsid w:val="003E39F8"/>
    <w:rsid w:val="003E507C"/>
    <w:rsid w:val="003E6B46"/>
    <w:rsid w:val="003E7FDB"/>
    <w:rsid w:val="003F0BD2"/>
    <w:rsid w:val="003F6287"/>
    <w:rsid w:val="003F6F0B"/>
    <w:rsid w:val="003F7CC1"/>
    <w:rsid w:val="004003B4"/>
    <w:rsid w:val="00400CD8"/>
    <w:rsid w:val="004010E5"/>
    <w:rsid w:val="004012C1"/>
    <w:rsid w:val="00401AAE"/>
    <w:rsid w:val="004028EF"/>
    <w:rsid w:val="00402E55"/>
    <w:rsid w:val="0040574D"/>
    <w:rsid w:val="00405C70"/>
    <w:rsid w:val="00407FFE"/>
    <w:rsid w:val="00412A5D"/>
    <w:rsid w:val="0041322C"/>
    <w:rsid w:val="004142F1"/>
    <w:rsid w:val="00414681"/>
    <w:rsid w:val="0041525F"/>
    <w:rsid w:val="00416115"/>
    <w:rsid w:val="004170BE"/>
    <w:rsid w:val="00421B37"/>
    <w:rsid w:val="00422A9B"/>
    <w:rsid w:val="00424465"/>
    <w:rsid w:val="0042460C"/>
    <w:rsid w:val="00426B97"/>
    <w:rsid w:val="0043085A"/>
    <w:rsid w:val="0043133E"/>
    <w:rsid w:val="004315DF"/>
    <w:rsid w:val="00433B4A"/>
    <w:rsid w:val="00433CED"/>
    <w:rsid w:val="004349CF"/>
    <w:rsid w:val="00437764"/>
    <w:rsid w:val="00440343"/>
    <w:rsid w:val="0044071F"/>
    <w:rsid w:val="00441B14"/>
    <w:rsid w:val="0044423C"/>
    <w:rsid w:val="00444C5B"/>
    <w:rsid w:val="004464A6"/>
    <w:rsid w:val="0045102B"/>
    <w:rsid w:val="00451887"/>
    <w:rsid w:val="004519BC"/>
    <w:rsid w:val="00454D6B"/>
    <w:rsid w:val="004552BC"/>
    <w:rsid w:val="00461C08"/>
    <w:rsid w:val="00462A58"/>
    <w:rsid w:val="00465899"/>
    <w:rsid w:val="0046634B"/>
    <w:rsid w:val="00466653"/>
    <w:rsid w:val="004674AB"/>
    <w:rsid w:val="00470B4B"/>
    <w:rsid w:val="00471202"/>
    <w:rsid w:val="00473ABA"/>
    <w:rsid w:val="0047532A"/>
    <w:rsid w:val="00475656"/>
    <w:rsid w:val="00476576"/>
    <w:rsid w:val="0047722E"/>
    <w:rsid w:val="00477857"/>
    <w:rsid w:val="00480C04"/>
    <w:rsid w:val="004811DE"/>
    <w:rsid w:val="0048415B"/>
    <w:rsid w:val="00485AA8"/>
    <w:rsid w:val="00486411"/>
    <w:rsid w:val="00491164"/>
    <w:rsid w:val="004911F0"/>
    <w:rsid w:val="00491BCA"/>
    <w:rsid w:val="00492493"/>
    <w:rsid w:val="004924F9"/>
    <w:rsid w:val="00495AE1"/>
    <w:rsid w:val="00496B7A"/>
    <w:rsid w:val="00496BEF"/>
    <w:rsid w:val="004A2C12"/>
    <w:rsid w:val="004A4052"/>
    <w:rsid w:val="004A69EF"/>
    <w:rsid w:val="004A70CA"/>
    <w:rsid w:val="004A7EF0"/>
    <w:rsid w:val="004B02C2"/>
    <w:rsid w:val="004B283D"/>
    <w:rsid w:val="004B2A58"/>
    <w:rsid w:val="004B2A7A"/>
    <w:rsid w:val="004B74C6"/>
    <w:rsid w:val="004B7723"/>
    <w:rsid w:val="004C0FDD"/>
    <w:rsid w:val="004C1F01"/>
    <w:rsid w:val="004C253C"/>
    <w:rsid w:val="004C259E"/>
    <w:rsid w:val="004C5239"/>
    <w:rsid w:val="004C56DD"/>
    <w:rsid w:val="004C5C37"/>
    <w:rsid w:val="004C646D"/>
    <w:rsid w:val="004C697D"/>
    <w:rsid w:val="004C6CB5"/>
    <w:rsid w:val="004D2DC9"/>
    <w:rsid w:val="004D7BBA"/>
    <w:rsid w:val="004E2828"/>
    <w:rsid w:val="004E4328"/>
    <w:rsid w:val="004E553E"/>
    <w:rsid w:val="004E5F4B"/>
    <w:rsid w:val="004E7AEE"/>
    <w:rsid w:val="004F1762"/>
    <w:rsid w:val="004F243C"/>
    <w:rsid w:val="004F3740"/>
    <w:rsid w:val="004F3A7E"/>
    <w:rsid w:val="004F7B4E"/>
    <w:rsid w:val="00501A3A"/>
    <w:rsid w:val="00501B0C"/>
    <w:rsid w:val="00503266"/>
    <w:rsid w:val="00506BE1"/>
    <w:rsid w:val="00506FE3"/>
    <w:rsid w:val="00510F31"/>
    <w:rsid w:val="00512931"/>
    <w:rsid w:val="00517BE6"/>
    <w:rsid w:val="005210BB"/>
    <w:rsid w:val="005224C4"/>
    <w:rsid w:val="00523AE1"/>
    <w:rsid w:val="00523BB1"/>
    <w:rsid w:val="005257E9"/>
    <w:rsid w:val="005278D6"/>
    <w:rsid w:val="005318C2"/>
    <w:rsid w:val="00536A67"/>
    <w:rsid w:val="005375AC"/>
    <w:rsid w:val="005420AA"/>
    <w:rsid w:val="005426B3"/>
    <w:rsid w:val="005434BE"/>
    <w:rsid w:val="00546E51"/>
    <w:rsid w:val="00547DB7"/>
    <w:rsid w:val="0055002F"/>
    <w:rsid w:val="00553AFB"/>
    <w:rsid w:val="00554867"/>
    <w:rsid w:val="005557F4"/>
    <w:rsid w:val="00555F86"/>
    <w:rsid w:val="005619B8"/>
    <w:rsid w:val="00564CB4"/>
    <w:rsid w:val="00566263"/>
    <w:rsid w:val="00566DD3"/>
    <w:rsid w:val="00567C20"/>
    <w:rsid w:val="00571F7B"/>
    <w:rsid w:val="00573A30"/>
    <w:rsid w:val="00573E3C"/>
    <w:rsid w:val="0058397A"/>
    <w:rsid w:val="00585CE9"/>
    <w:rsid w:val="00586781"/>
    <w:rsid w:val="005875E8"/>
    <w:rsid w:val="005927AB"/>
    <w:rsid w:val="0059365A"/>
    <w:rsid w:val="00594D85"/>
    <w:rsid w:val="005959D3"/>
    <w:rsid w:val="005971F9"/>
    <w:rsid w:val="005A0ADF"/>
    <w:rsid w:val="005A2704"/>
    <w:rsid w:val="005A3F00"/>
    <w:rsid w:val="005A3FE9"/>
    <w:rsid w:val="005A5B6B"/>
    <w:rsid w:val="005A5BE6"/>
    <w:rsid w:val="005A6135"/>
    <w:rsid w:val="005B116B"/>
    <w:rsid w:val="005B1B25"/>
    <w:rsid w:val="005B2D6A"/>
    <w:rsid w:val="005B32C0"/>
    <w:rsid w:val="005B5527"/>
    <w:rsid w:val="005B6833"/>
    <w:rsid w:val="005B68DB"/>
    <w:rsid w:val="005B6FFE"/>
    <w:rsid w:val="005C4758"/>
    <w:rsid w:val="005C6C69"/>
    <w:rsid w:val="005C7209"/>
    <w:rsid w:val="005D2CF4"/>
    <w:rsid w:val="005D4433"/>
    <w:rsid w:val="005D4564"/>
    <w:rsid w:val="005D6A98"/>
    <w:rsid w:val="005E09B0"/>
    <w:rsid w:val="005E0C95"/>
    <w:rsid w:val="005E12B9"/>
    <w:rsid w:val="005E2780"/>
    <w:rsid w:val="005E37D7"/>
    <w:rsid w:val="005E573A"/>
    <w:rsid w:val="005E6646"/>
    <w:rsid w:val="005E783B"/>
    <w:rsid w:val="005F0219"/>
    <w:rsid w:val="005F0C23"/>
    <w:rsid w:val="005F0D82"/>
    <w:rsid w:val="005F26A6"/>
    <w:rsid w:val="005F4DA4"/>
    <w:rsid w:val="005F6E3B"/>
    <w:rsid w:val="005F7A5F"/>
    <w:rsid w:val="0060046A"/>
    <w:rsid w:val="006007FE"/>
    <w:rsid w:val="006022A8"/>
    <w:rsid w:val="00602324"/>
    <w:rsid w:val="006031DC"/>
    <w:rsid w:val="00603928"/>
    <w:rsid w:val="006054DD"/>
    <w:rsid w:val="0060625E"/>
    <w:rsid w:val="00610053"/>
    <w:rsid w:val="0061606A"/>
    <w:rsid w:val="0061694A"/>
    <w:rsid w:val="00616A5C"/>
    <w:rsid w:val="00617356"/>
    <w:rsid w:val="00623E1F"/>
    <w:rsid w:val="00626003"/>
    <w:rsid w:val="00630115"/>
    <w:rsid w:val="00633554"/>
    <w:rsid w:val="0063463C"/>
    <w:rsid w:val="00637F73"/>
    <w:rsid w:val="006438AF"/>
    <w:rsid w:val="0065179B"/>
    <w:rsid w:val="0065329A"/>
    <w:rsid w:val="00654E9E"/>
    <w:rsid w:val="00655973"/>
    <w:rsid w:val="00657A62"/>
    <w:rsid w:val="00660993"/>
    <w:rsid w:val="0066352A"/>
    <w:rsid w:val="0066499D"/>
    <w:rsid w:val="00666EDA"/>
    <w:rsid w:val="00667F35"/>
    <w:rsid w:val="00667FA0"/>
    <w:rsid w:val="00670290"/>
    <w:rsid w:val="00670924"/>
    <w:rsid w:val="006709C1"/>
    <w:rsid w:val="00672722"/>
    <w:rsid w:val="006740CC"/>
    <w:rsid w:val="00676BBC"/>
    <w:rsid w:val="0067787F"/>
    <w:rsid w:val="00680BEB"/>
    <w:rsid w:val="006840C1"/>
    <w:rsid w:val="00686E4C"/>
    <w:rsid w:val="00687437"/>
    <w:rsid w:val="00687DDA"/>
    <w:rsid w:val="006907D8"/>
    <w:rsid w:val="006913A9"/>
    <w:rsid w:val="00691B14"/>
    <w:rsid w:val="00691EF8"/>
    <w:rsid w:val="0069519A"/>
    <w:rsid w:val="006958CE"/>
    <w:rsid w:val="006A12D3"/>
    <w:rsid w:val="006A14D8"/>
    <w:rsid w:val="006A2940"/>
    <w:rsid w:val="006A4C85"/>
    <w:rsid w:val="006A5227"/>
    <w:rsid w:val="006A7449"/>
    <w:rsid w:val="006B062B"/>
    <w:rsid w:val="006B1005"/>
    <w:rsid w:val="006B338B"/>
    <w:rsid w:val="006B347A"/>
    <w:rsid w:val="006B54E5"/>
    <w:rsid w:val="006B5B70"/>
    <w:rsid w:val="006B7319"/>
    <w:rsid w:val="006C03BF"/>
    <w:rsid w:val="006C07B0"/>
    <w:rsid w:val="006C1296"/>
    <w:rsid w:val="006C255F"/>
    <w:rsid w:val="006C309D"/>
    <w:rsid w:val="006C3848"/>
    <w:rsid w:val="006C5DB4"/>
    <w:rsid w:val="006D0198"/>
    <w:rsid w:val="006D230F"/>
    <w:rsid w:val="006D2C20"/>
    <w:rsid w:val="006D327D"/>
    <w:rsid w:val="006D4D39"/>
    <w:rsid w:val="006D6B1F"/>
    <w:rsid w:val="006D7DB1"/>
    <w:rsid w:val="006E0203"/>
    <w:rsid w:val="006E02B2"/>
    <w:rsid w:val="006E0491"/>
    <w:rsid w:val="006E392F"/>
    <w:rsid w:val="006E5FEA"/>
    <w:rsid w:val="006E76C0"/>
    <w:rsid w:val="006E7B91"/>
    <w:rsid w:val="006F0833"/>
    <w:rsid w:val="006F0C9C"/>
    <w:rsid w:val="006F3472"/>
    <w:rsid w:val="006F76F4"/>
    <w:rsid w:val="006F7830"/>
    <w:rsid w:val="006F7AA5"/>
    <w:rsid w:val="0070055B"/>
    <w:rsid w:val="007009C9"/>
    <w:rsid w:val="00700CB7"/>
    <w:rsid w:val="007013A2"/>
    <w:rsid w:val="00701CBA"/>
    <w:rsid w:val="00702243"/>
    <w:rsid w:val="00702B4B"/>
    <w:rsid w:val="00704F84"/>
    <w:rsid w:val="00705805"/>
    <w:rsid w:val="00705A6B"/>
    <w:rsid w:val="00706F4B"/>
    <w:rsid w:val="00707142"/>
    <w:rsid w:val="00710B2B"/>
    <w:rsid w:val="00712798"/>
    <w:rsid w:val="007146B8"/>
    <w:rsid w:val="0071684B"/>
    <w:rsid w:val="00716978"/>
    <w:rsid w:val="007173CB"/>
    <w:rsid w:val="007176C0"/>
    <w:rsid w:val="00717C37"/>
    <w:rsid w:val="00717EB7"/>
    <w:rsid w:val="00721D3F"/>
    <w:rsid w:val="007266F1"/>
    <w:rsid w:val="00726B45"/>
    <w:rsid w:val="00726CDA"/>
    <w:rsid w:val="00727755"/>
    <w:rsid w:val="00730395"/>
    <w:rsid w:val="00731049"/>
    <w:rsid w:val="0073193D"/>
    <w:rsid w:val="007338E6"/>
    <w:rsid w:val="007340A9"/>
    <w:rsid w:val="007373B5"/>
    <w:rsid w:val="00737A6E"/>
    <w:rsid w:val="007427C8"/>
    <w:rsid w:val="00744D85"/>
    <w:rsid w:val="00745997"/>
    <w:rsid w:val="007463F0"/>
    <w:rsid w:val="0074658E"/>
    <w:rsid w:val="00747E3F"/>
    <w:rsid w:val="00750D65"/>
    <w:rsid w:val="00751D29"/>
    <w:rsid w:val="0075246A"/>
    <w:rsid w:val="00752E19"/>
    <w:rsid w:val="00753339"/>
    <w:rsid w:val="0075622F"/>
    <w:rsid w:val="00757263"/>
    <w:rsid w:val="007579D3"/>
    <w:rsid w:val="00760916"/>
    <w:rsid w:val="00760CC7"/>
    <w:rsid w:val="00761158"/>
    <w:rsid w:val="00761CEC"/>
    <w:rsid w:val="0076206A"/>
    <w:rsid w:val="00763103"/>
    <w:rsid w:val="00764D50"/>
    <w:rsid w:val="00773259"/>
    <w:rsid w:val="00773ACB"/>
    <w:rsid w:val="0077464E"/>
    <w:rsid w:val="00775196"/>
    <w:rsid w:val="00776FBD"/>
    <w:rsid w:val="0078328B"/>
    <w:rsid w:val="007867C0"/>
    <w:rsid w:val="007944EE"/>
    <w:rsid w:val="00794786"/>
    <w:rsid w:val="007951F8"/>
    <w:rsid w:val="00796C87"/>
    <w:rsid w:val="007A0C8E"/>
    <w:rsid w:val="007A3B39"/>
    <w:rsid w:val="007A5984"/>
    <w:rsid w:val="007A5E30"/>
    <w:rsid w:val="007B2F21"/>
    <w:rsid w:val="007B5833"/>
    <w:rsid w:val="007B76B0"/>
    <w:rsid w:val="007C1CAB"/>
    <w:rsid w:val="007C1E5D"/>
    <w:rsid w:val="007C5C96"/>
    <w:rsid w:val="007D0F44"/>
    <w:rsid w:val="007D3B95"/>
    <w:rsid w:val="007D5082"/>
    <w:rsid w:val="007D6944"/>
    <w:rsid w:val="007E0477"/>
    <w:rsid w:val="007E2AE2"/>
    <w:rsid w:val="007E68EE"/>
    <w:rsid w:val="007E6A24"/>
    <w:rsid w:val="007E7182"/>
    <w:rsid w:val="007F201F"/>
    <w:rsid w:val="007F4949"/>
    <w:rsid w:val="0080282D"/>
    <w:rsid w:val="00803FF9"/>
    <w:rsid w:val="008052BA"/>
    <w:rsid w:val="008067E5"/>
    <w:rsid w:val="00806D2C"/>
    <w:rsid w:val="00807702"/>
    <w:rsid w:val="00807BE4"/>
    <w:rsid w:val="008110F9"/>
    <w:rsid w:val="00812FE0"/>
    <w:rsid w:val="00814EFB"/>
    <w:rsid w:val="008151B1"/>
    <w:rsid w:val="00815363"/>
    <w:rsid w:val="008156DB"/>
    <w:rsid w:val="0082050D"/>
    <w:rsid w:val="008236F6"/>
    <w:rsid w:val="00824873"/>
    <w:rsid w:val="00825CA5"/>
    <w:rsid w:val="00831155"/>
    <w:rsid w:val="00832A77"/>
    <w:rsid w:val="008349C7"/>
    <w:rsid w:val="0083564B"/>
    <w:rsid w:val="0083568F"/>
    <w:rsid w:val="00835AA3"/>
    <w:rsid w:val="00835BF0"/>
    <w:rsid w:val="00835C31"/>
    <w:rsid w:val="00837211"/>
    <w:rsid w:val="008408FF"/>
    <w:rsid w:val="00840E5F"/>
    <w:rsid w:val="00842436"/>
    <w:rsid w:val="00842DB3"/>
    <w:rsid w:val="0084502D"/>
    <w:rsid w:val="0084624F"/>
    <w:rsid w:val="00846334"/>
    <w:rsid w:val="00846EB5"/>
    <w:rsid w:val="00847564"/>
    <w:rsid w:val="008530F4"/>
    <w:rsid w:val="00854060"/>
    <w:rsid w:val="008550DD"/>
    <w:rsid w:val="008569CD"/>
    <w:rsid w:val="008569CE"/>
    <w:rsid w:val="0086154B"/>
    <w:rsid w:val="0086298B"/>
    <w:rsid w:val="00864F4A"/>
    <w:rsid w:val="00873905"/>
    <w:rsid w:val="00874726"/>
    <w:rsid w:val="008761D1"/>
    <w:rsid w:val="00877BCB"/>
    <w:rsid w:val="00877BCD"/>
    <w:rsid w:val="00883BF2"/>
    <w:rsid w:val="0088562D"/>
    <w:rsid w:val="00885F98"/>
    <w:rsid w:val="008913E5"/>
    <w:rsid w:val="00891C66"/>
    <w:rsid w:val="00892574"/>
    <w:rsid w:val="008925D7"/>
    <w:rsid w:val="0089349D"/>
    <w:rsid w:val="0089777B"/>
    <w:rsid w:val="008A0C20"/>
    <w:rsid w:val="008A313C"/>
    <w:rsid w:val="008A5166"/>
    <w:rsid w:val="008A6E6D"/>
    <w:rsid w:val="008A724F"/>
    <w:rsid w:val="008A731A"/>
    <w:rsid w:val="008B05C7"/>
    <w:rsid w:val="008B16DC"/>
    <w:rsid w:val="008B17EC"/>
    <w:rsid w:val="008B19C4"/>
    <w:rsid w:val="008B1A2B"/>
    <w:rsid w:val="008B3ED9"/>
    <w:rsid w:val="008B548E"/>
    <w:rsid w:val="008B5D34"/>
    <w:rsid w:val="008C0018"/>
    <w:rsid w:val="008C4A21"/>
    <w:rsid w:val="008C5E0D"/>
    <w:rsid w:val="008C6574"/>
    <w:rsid w:val="008C75AF"/>
    <w:rsid w:val="008C7E1A"/>
    <w:rsid w:val="008D0CE4"/>
    <w:rsid w:val="008D344C"/>
    <w:rsid w:val="008D3EE8"/>
    <w:rsid w:val="008D417E"/>
    <w:rsid w:val="008D4266"/>
    <w:rsid w:val="008D6949"/>
    <w:rsid w:val="008D698F"/>
    <w:rsid w:val="008D6BF9"/>
    <w:rsid w:val="008E00D0"/>
    <w:rsid w:val="008E03E6"/>
    <w:rsid w:val="008E237B"/>
    <w:rsid w:val="008E278F"/>
    <w:rsid w:val="008E281E"/>
    <w:rsid w:val="008E2BC6"/>
    <w:rsid w:val="008E33E4"/>
    <w:rsid w:val="008E36FA"/>
    <w:rsid w:val="008E4FE6"/>
    <w:rsid w:val="008E6D75"/>
    <w:rsid w:val="008F53FA"/>
    <w:rsid w:val="008F6010"/>
    <w:rsid w:val="008F64F8"/>
    <w:rsid w:val="0090107D"/>
    <w:rsid w:val="00911030"/>
    <w:rsid w:val="00914562"/>
    <w:rsid w:val="00915D0C"/>
    <w:rsid w:val="00915FE8"/>
    <w:rsid w:val="009167B1"/>
    <w:rsid w:val="00917704"/>
    <w:rsid w:val="009209F7"/>
    <w:rsid w:val="0092139A"/>
    <w:rsid w:val="00921E09"/>
    <w:rsid w:val="00924A77"/>
    <w:rsid w:val="00925D06"/>
    <w:rsid w:val="00931626"/>
    <w:rsid w:val="00932AC3"/>
    <w:rsid w:val="00935478"/>
    <w:rsid w:val="009357BE"/>
    <w:rsid w:val="00937626"/>
    <w:rsid w:val="00942A6A"/>
    <w:rsid w:val="009509DC"/>
    <w:rsid w:val="00950F93"/>
    <w:rsid w:val="00951E22"/>
    <w:rsid w:val="009523F0"/>
    <w:rsid w:val="00953BFC"/>
    <w:rsid w:val="009556C8"/>
    <w:rsid w:val="00955E58"/>
    <w:rsid w:val="00956838"/>
    <w:rsid w:val="00956F69"/>
    <w:rsid w:val="00957EF8"/>
    <w:rsid w:val="0096159F"/>
    <w:rsid w:val="00962A93"/>
    <w:rsid w:val="009634A7"/>
    <w:rsid w:val="0096378D"/>
    <w:rsid w:val="00965111"/>
    <w:rsid w:val="00965119"/>
    <w:rsid w:val="00966496"/>
    <w:rsid w:val="00966700"/>
    <w:rsid w:val="00966FD0"/>
    <w:rsid w:val="00967E6B"/>
    <w:rsid w:val="00971906"/>
    <w:rsid w:val="0097242E"/>
    <w:rsid w:val="009738E7"/>
    <w:rsid w:val="009756BB"/>
    <w:rsid w:val="00975BB3"/>
    <w:rsid w:val="00976EDF"/>
    <w:rsid w:val="0097713A"/>
    <w:rsid w:val="009809B0"/>
    <w:rsid w:val="00980FF5"/>
    <w:rsid w:val="00981C35"/>
    <w:rsid w:val="00984DD6"/>
    <w:rsid w:val="009873FE"/>
    <w:rsid w:val="00990503"/>
    <w:rsid w:val="009907BA"/>
    <w:rsid w:val="009907E4"/>
    <w:rsid w:val="00991FE3"/>
    <w:rsid w:val="00993F65"/>
    <w:rsid w:val="0099445B"/>
    <w:rsid w:val="00994E00"/>
    <w:rsid w:val="009954B9"/>
    <w:rsid w:val="00996CBE"/>
    <w:rsid w:val="00997245"/>
    <w:rsid w:val="009A36B2"/>
    <w:rsid w:val="009A40D4"/>
    <w:rsid w:val="009A4140"/>
    <w:rsid w:val="009A4814"/>
    <w:rsid w:val="009A49F8"/>
    <w:rsid w:val="009A542C"/>
    <w:rsid w:val="009A6BEB"/>
    <w:rsid w:val="009B0219"/>
    <w:rsid w:val="009B1245"/>
    <w:rsid w:val="009B13BB"/>
    <w:rsid w:val="009B2E51"/>
    <w:rsid w:val="009B4B0A"/>
    <w:rsid w:val="009B6DE8"/>
    <w:rsid w:val="009C001D"/>
    <w:rsid w:val="009C31B0"/>
    <w:rsid w:val="009C3AE4"/>
    <w:rsid w:val="009C3E07"/>
    <w:rsid w:val="009C46DF"/>
    <w:rsid w:val="009C5D99"/>
    <w:rsid w:val="009C6F78"/>
    <w:rsid w:val="009C702E"/>
    <w:rsid w:val="009C72DC"/>
    <w:rsid w:val="009D0660"/>
    <w:rsid w:val="009D3E6C"/>
    <w:rsid w:val="009D787F"/>
    <w:rsid w:val="009E2C7A"/>
    <w:rsid w:val="009E3351"/>
    <w:rsid w:val="009E5221"/>
    <w:rsid w:val="009E5408"/>
    <w:rsid w:val="009E5ACB"/>
    <w:rsid w:val="009E62CB"/>
    <w:rsid w:val="009E6753"/>
    <w:rsid w:val="009E6D2F"/>
    <w:rsid w:val="009F14D1"/>
    <w:rsid w:val="009F31AF"/>
    <w:rsid w:val="009F39F3"/>
    <w:rsid w:val="009F3A33"/>
    <w:rsid w:val="00A01B47"/>
    <w:rsid w:val="00A02EB2"/>
    <w:rsid w:val="00A067C0"/>
    <w:rsid w:val="00A07629"/>
    <w:rsid w:val="00A10E04"/>
    <w:rsid w:val="00A10FF0"/>
    <w:rsid w:val="00A13CB0"/>
    <w:rsid w:val="00A156B6"/>
    <w:rsid w:val="00A1579F"/>
    <w:rsid w:val="00A17A04"/>
    <w:rsid w:val="00A20723"/>
    <w:rsid w:val="00A212C2"/>
    <w:rsid w:val="00A21C6B"/>
    <w:rsid w:val="00A25872"/>
    <w:rsid w:val="00A279D1"/>
    <w:rsid w:val="00A27A65"/>
    <w:rsid w:val="00A27CD3"/>
    <w:rsid w:val="00A31517"/>
    <w:rsid w:val="00A32B95"/>
    <w:rsid w:val="00A33417"/>
    <w:rsid w:val="00A33F88"/>
    <w:rsid w:val="00A35241"/>
    <w:rsid w:val="00A41284"/>
    <w:rsid w:val="00A412B5"/>
    <w:rsid w:val="00A4231C"/>
    <w:rsid w:val="00A428C7"/>
    <w:rsid w:val="00A4292F"/>
    <w:rsid w:val="00A47306"/>
    <w:rsid w:val="00A53664"/>
    <w:rsid w:val="00A53C87"/>
    <w:rsid w:val="00A54607"/>
    <w:rsid w:val="00A548E9"/>
    <w:rsid w:val="00A55E8D"/>
    <w:rsid w:val="00A62318"/>
    <w:rsid w:val="00A62AF7"/>
    <w:rsid w:val="00A6397E"/>
    <w:rsid w:val="00A64793"/>
    <w:rsid w:val="00A65426"/>
    <w:rsid w:val="00A65D69"/>
    <w:rsid w:val="00A65DDC"/>
    <w:rsid w:val="00A66886"/>
    <w:rsid w:val="00A66D29"/>
    <w:rsid w:val="00A71298"/>
    <w:rsid w:val="00A7163F"/>
    <w:rsid w:val="00A72502"/>
    <w:rsid w:val="00A728D8"/>
    <w:rsid w:val="00A756EF"/>
    <w:rsid w:val="00A762C0"/>
    <w:rsid w:val="00A7751E"/>
    <w:rsid w:val="00A77AA3"/>
    <w:rsid w:val="00A8044F"/>
    <w:rsid w:val="00A835F1"/>
    <w:rsid w:val="00A85600"/>
    <w:rsid w:val="00A86F8B"/>
    <w:rsid w:val="00A8794E"/>
    <w:rsid w:val="00A90CE6"/>
    <w:rsid w:val="00A913C5"/>
    <w:rsid w:val="00A921D9"/>
    <w:rsid w:val="00A93208"/>
    <w:rsid w:val="00A93412"/>
    <w:rsid w:val="00A95408"/>
    <w:rsid w:val="00A9569B"/>
    <w:rsid w:val="00A9688D"/>
    <w:rsid w:val="00AA3F5E"/>
    <w:rsid w:val="00AA47BB"/>
    <w:rsid w:val="00AA4C98"/>
    <w:rsid w:val="00AA4F3B"/>
    <w:rsid w:val="00AB38CF"/>
    <w:rsid w:val="00AB4881"/>
    <w:rsid w:val="00AB5AD4"/>
    <w:rsid w:val="00AC2771"/>
    <w:rsid w:val="00AC4130"/>
    <w:rsid w:val="00AC74D3"/>
    <w:rsid w:val="00AC7CFA"/>
    <w:rsid w:val="00AD2AE3"/>
    <w:rsid w:val="00AD3FF8"/>
    <w:rsid w:val="00AE399A"/>
    <w:rsid w:val="00AE43EE"/>
    <w:rsid w:val="00AE5596"/>
    <w:rsid w:val="00AE55DA"/>
    <w:rsid w:val="00AE5EF9"/>
    <w:rsid w:val="00AE7276"/>
    <w:rsid w:val="00AE7366"/>
    <w:rsid w:val="00AF2EEE"/>
    <w:rsid w:val="00AF31D6"/>
    <w:rsid w:val="00AF43B0"/>
    <w:rsid w:val="00AF459A"/>
    <w:rsid w:val="00AF58EF"/>
    <w:rsid w:val="00AF74A6"/>
    <w:rsid w:val="00B0047A"/>
    <w:rsid w:val="00B00D2A"/>
    <w:rsid w:val="00B02D7A"/>
    <w:rsid w:val="00B039C1"/>
    <w:rsid w:val="00B057AF"/>
    <w:rsid w:val="00B06A57"/>
    <w:rsid w:val="00B10A86"/>
    <w:rsid w:val="00B12387"/>
    <w:rsid w:val="00B135F1"/>
    <w:rsid w:val="00B146E7"/>
    <w:rsid w:val="00B213BA"/>
    <w:rsid w:val="00B255D6"/>
    <w:rsid w:val="00B31CEC"/>
    <w:rsid w:val="00B32082"/>
    <w:rsid w:val="00B326A4"/>
    <w:rsid w:val="00B33614"/>
    <w:rsid w:val="00B3618C"/>
    <w:rsid w:val="00B3772E"/>
    <w:rsid w:val="00B410FA"/>
    <w:rsid w:val="00B4121E"/>
    <w:rsid w:val="00B421CC"/>
    <w:rsid w:val="00B44999"/>
    <w:rsid w:val="00B47AD1"/>
    <w:rsid w:val="00B47D82"/>
    <w:rsid w:val="00B518C5"/>
    <w:rsid w:val="00B51988"/>
    <w:rsid w:val="00B5298C"/>
    <w:rsid w:val="00B52DB7"/>
    <w:rsid w:val="00B55488"/>
    <w:rsid w:val="00B56450"/>
    <w:rsid w:val="00B56F44"/>
    <w:rsid w:val="00B57866"/>
    <w:rsid w:val="00B600E6"/>
    <w:rsid w:val="00B60BDA"/>
    <w:rsid w:val="00B63359"/>
    <w:rsid w:val="00B63366"/>
    <w:rsid w:val="00B63F7A"/>
    <w:rsid w:val="00B640D4"/>
    <w:rsid w:val="00B642BC"/>
    <w:rsid w:val="00B660D7"/>
    <w:rsid w:val="00B7189E"/>
    <w:rsid w:val="00B71AD5"/>
    <w:rsid w:val="00B71D9B"/>
    <w:rsid w:val="00B756C3"/>
    <w:rsid w:val="00B75E2E"/>
    <w:rsid w:val="00B7651F"/>
    <w:rsid w:val="00B7746C"/>
    <w:rsid w:val="00B77BAE"/>
    <w:rsid w:val="00B801B0"/>
    <w:rsid w:val="00B825ED"/>
    <w:rsid w:val="00B83045"/>
    <w:rsid w:val="00B8347E"/>
    <w:rsid w:val="00B8365F"/>
    <w:rsid w:val="00B844C6"/>
    <w:rsid w:val="00B86ED1"/>
    <w:rsid w:val="00B90875"/>
    <w:rsid w:val="00B91EAE"/>
    <w:rsid w:val="00B93653"/>
    <w:rsid w:val="00B94C58"/>
    <w:rsid w:val="00B95787"/>
    <w:rsid w:val="00B959B6"/>
    <w:rsid w:val="00B974EB"/>
    <w:rsid w:val="00BA3818"/>
    <w:rsid w:val="00BA4BE9"/>
    <w:rsid w:val="00BB18FA"/>
    <w:rsid w:val="00BB37FD"/>
    <w:rsid w:val="00BB3ACA"/>
    <w:rsid w:val="00BB418F"/>
    <w:rsid w:val="00BB4DE5"/>
    <w:rsid w:val="00BB51BF"/>
    <w:rsid w:val="00BB5B72"/>
    <w:rsid w:val="00BB6ED2"/>
    <w:rsid w:val="00BB702F"/>
    <w:rsid w:val="00BC2A4C"/>
    <w:rsid w:val="00BC447E"/>
    <w:rsid w:val="00BC62F4"/>
    <w:rsid w:val="00BC6E18"/>
    <w:rsid w:val="00BC7A06"/>
    <w:rsid w:val="00BC7C5C"/>
    <w:rsid w:val="00BD02C8"/>
    <w:rsid w:val="00BD1249"/>
    <w:rsid w:val="00BD1778"/>
    <w:rsid w:val="00BD25F7"/>
    <w:rsid w:val="00BD555E"/>
    <w:rsid w:val="00BE2979"/>
    <w:rsid w:val="00BE3D2D"/>
    <w:rsid w:val="00BE6DAA"/>
    <w:rsid w:val="00BE7DDD"/>
    <w:rsid w:val="00BF02FF"/>
    <w:rsid w:val="00BF1DAA"/>
    <w:rsid w:val="00BF246F"/>
    <w:rsid w:val="00BF2D31"/>
    <w:rsid w:val="00BF2FD9"/>
    <w:rsid w:val="00BF6A13"/>
    <w:rsid w:val="00BF6F78"/>
    <w:rsid w:val="00C00002"/>
    <w:rsid w:val="00C00A8E"/>
    <w:rsid w:val="00C02903"/>
    <w:rsid w:val="00C03917"/>
    <w:rsid w:val="00C042E0"/>
    <w:rsid w:val="00C079DC"/>
    <w:rsid w:val="00C1163D"/>
    <w:rsid w:val="00C12370"/>
    <w:rsid w:val="00C13CBD"/>
    <w:rsid w:val="00C14B34"/>
    <w:rsid w:val="00C1759E"/>
    <w:rsid w:val="00C253BA"/>
    <w:rsid w:val="00C2705D"/>
    <w:rsid w:val="00C27F53"/>
    <w:rsid w:val="00C307FB"/>
    <w:rsid w:val="00C31833"/>
    <w:rsid w:val="00C32028"/>
    <w:rsid w:val="00C34A40"/>
    <w:rsid w:val="00C34BCC"/>
    <w:rsid w:val="00C35319"/>
    <w:rsid w:val="00C365DC"/>
    <w:rsid w:val="00C368C0"/>
    <w:rsid w:val="00C378A4"/>
    <w:rsid w:val="00C37E84"/>
    <w:rsid w:val="00C41C3D"/>
    <w:rsid w:val="00C428D6"/>
    <w:rsid w:val="00C42D16"/>
    <w:rsid w:val="00C43282"/>
    <w:rsid w:val="00C43CB4"/>
    <w:rsid w:val="00C44680"/>
    <w:rsid w:val="00C46D9D"/>
    <w:rsid w:val="00C46E97"/>
    <w:rsid w:val="00C47AA2"/>
    <w:rsid w:val="00C5016B"/>
    <w:rsid w:val="00C50FE9"/>
    <w:rsid w:val="00C51197"/>
    <w:rsid w:val="00C51F32"/>
    <w:rsid w:val="00C51F4F"/>
    <w:rsid w:val="00C5238A"/>
    <w:rsid w:val="00C548F1"/>
    <w:rsid w:val="00C54E9D"/>
    <w:rsid w:val="00C55A2D"/>
    <w:rsid w:val="00C5620D"/>
    <w:rsid w:val="00C56485"/>
    <w:rsid w:val="00C57491"/>
    <w:rsid w:val="00C57CA6"/>
    <w:rsid w:val="00C62C06"/>
    <w:rsid w:val="00C63FA9"/>
    <w:rsid w:val="00C643D2"/>
    <w:rsid w:val="00C64817"/>
    <w:rsid w:val="00C650C4"/>
    <w:rsid w:val="00C65A04"/>
    <w:rsid w:val="00C7174E"/>
    <w:rsid w:val="00C71D04"/>
    <w:rsid w:val="00C73A66"/>
    <w:rsid w:val="00C73E0B"/>
    <w:rsid w:val="00C740EF"/>
    <w:rsid w:val="00C763CE"/>
    <w:rsid w:val="00C767D7"/>
    <w:rsid w:val="00C76C92"/>
    <w:rsid w:val="00C77C37"/>
    <w:rsid w:val="00C80BBF"/>
    <w:rsid w:val="00C8195A"/>
    <w:rsid w:val="00C82904"/>
    <w:rsid w:val="00C8310E"/>
    <w:rsid w:val="00C84113"/>
    <w:rsid w:val="00C847D5"/>
    <w:rsid w:val="00C8499A"/>
    <w:rsid w:val="00C84D6F"/>
    <w:rsid w:val="00C8625E"/>
    <w:rsid w:val="00C87D61"/>
    <w:rsid w:val="00C90B8E"/>
    <w:rsid w:val="00C91D76"/>
    <w:rsid w:val="00C949B1"/>
    <w:rsid w:val="00C94A34"/>
    <w:rsid w:val="00C9552D"/>
    <w:rsid w:val="00C955E1"/>
    <w:rsid w:val="00C960FC"/>
    <w:rsid w:val="00C961B1"/>
    <w:rsid w:val="00C966D8"/>
    <w:rsid w:val="00C97201"/>
    <w:rsid w:val="00C97611"/>
    <w:rsid w:val="00C97A6C"/>
    <w:rsid w:val="00C97AFF"/>
    <w:rsid w:val="00CA105C"/>
    <w:rsid w:val="00CA271E"/>
    <w:rsid w:val="00CA2CD8"/>
    <w:rsid w:val="00CA6A4C"/>
    <w:rsid w:val="00CA78A5"/>
    <w:rsid w:val="00CA7E34"/>
    <w:rsid w:val="00CB1C73"/>
    <w:rsid w:val="00CB3A0D"/>
    <w:rsid w:val="00CB546F"/>
    <w:rsid w:val="00CC0A34"/>
    <w:rsid w:val="00CC0CBD"/>
    <w:rsid w:val="00CC0EF2"/>
    <w:rsid w:val="00CC14FE"/>
    <w:rsid w:val="00CC1B07"/>
    <w:rsid w:val="00CC2CA2"/>
    <w:rsid w:val="00CC39DA"/>
    <w:rsid w:val="00CC4ACE"/>
    <w:rsid w:val="00CC5770"/>
    <w:rsid w:val="00CC6F47"/>
    <w:rsid w:val="00CC77DD"/>
    <w:rsid w:val="00CC7955"/>
    <w:rsid w:val="00CD0962"/>
    <w:rsid w:val="00CD0D48"/>
    <w:rsid w:val="00CD22CC"/>
    <w:rsid w:val="00CD3A69"/>
    <w:rsid w:val="00CD46F1"/>
    <w:rsid w:val="00CD6721"/>
    <w:rsid w:val="00CE044B"/>
    <w:rsid w:val="00CE31D2"/>
    <w:rsid w:val="00CE3605"/>
    <w:rsid w:val="00CE3D5B"/>
    <w:rsid w:val="00CE4017"/>
    <w:rsid w:val="00CE40F2"/>
    <w:rsid w:val="00CE50FC"/>
    <w:rsid w:val="00CE54C2"/>
    <w:rsid w:val="00CE5B2A"/>
    <w:rsid w:val="00CF1980"/>
    <w:rsid w:val="00CF1E15"/>
    <w:rsid w:val="00CF2BC5"/>
    <w:rsid w:val="00CF4B35"/>
    <w:rsid w:val="00CF4C79"/>
    <w:rsid w:val="00CF5046"/>
    <w:rsid w:val="00CF6498"/>
    <w:rsid w:val="00CF6F88"/>
    <w:rsid w:val="00CF7525"/>
    <w:rsid w:val="00CF7836"/>
    <w:rsid w:val="00CF7AC9"/>
    <w:rsid w:val="00CF7E52"/>
    <w:rsid w:val="00D00EE2"/>
    <w:rsid w:val="00D02CE4"/>
    <w:rsid w:val="00D03675"/>
    <w:rsid w:val="00D037D8"/>
    <w:rsid w:val="00D0404F"/>
    <w:rsid w:val="00D057B0"/>
    <w:rsid w:val="00D10E07"/>
    <w:rsid w:val="00D145C4"/>
    <w:rsid w:val="00D1693E"/>
    <w:rsid w:val="00D16E72"/>
    <w:rsid w:val="00D174D8"/>
    <w:rsid w:val="00D228E0"/>
    <w:rsid w:val="00D23530"/>
    <w:rsid w:val="00D23DF7"/>
    <w:rsid w:val="00D24168"/>
    <w:rsid w:val="00D27432"/>
    <w:rsid w:val="00D30A12"/>
    <w:rsid w:val="00D30E81"/>
    <w:rsid w:val="00D324CF"/>
    <w:rsid w:val="00D34A47"/>
    <w:rsid w:val="00D34D48"/>
    <w:rsid w:val="00D3676B"/>
    <w:rsid w:val="00D37EDC"/>
    <w:rsid w:val="00D4035F"/>
    <w:rsid w:val="00D443BD"/>
    <w:rsid w:val="00D4552C"/>
    <w:rsid w:val="00D46322"/>
    <w:rsid w:val="00D46DAF"/>
    <w:rsid w:val="00D52014"/>
    <w:rsid w:val="00D5274B"/>
    <w:rsid w:val="00D53456"/>
    <w:rsid w:val="00D54657"/>
    <w:rsid w:val="00D55A19"/>
    <w:rsid w:val="00D55C80"/>
    <w:rsid w:val="00D56A0D"/>
    <w:rsid w:val="00D572D0"/>
    <w:rsid w:val="00D603C3"/>
    <w:rsid w:val="00D61BC0"/>
    <w:rsid w:val="00D621AA"/>
    <w:rsid w:val="00D626C9"/>
    <w:rsid w:val="00D64A33"/>
    <w:rsid w:val="00D65566"/>
    <w:rsid w:val="00D66A9A"/>
    <w:rsid w:val="00D66B12"/>
    <w:rsid w:val="00D67747"/>
    <w:rsid w:val="00D7165F"/>
    <w:rsid w:val="00D71F11"/>
    <w:rsid w:val="00D730DF"/>
    <w:rsid w:val="00D75835"/>
    <w:rsid w:val="00D778A9"/>
    <w:rsid w:val="00D77F30"/>
    <w:rsid w:val="00D77FF2"/>
    <w:rsid w:val="00D8015E"/>
    <w:rsid w:val="00D80F12"/>
    <w:rsid w:val="00D8494C"/>
    <w:rsid w:val="00D85150"/>
    <w:rsid w:val="00D91DF2"/>
    <w:rsid w:val="00D93795"/>
    <w:rsid w:val="00D939F5"/>
    <w:rsid w:val="00D93BC1"/>
    <w:rsid w:val="00D9430D"/>
    <w:rsid w:val="00D94BBB"/>
    <w:rsid w:val="00D965EC"/>
    <w:rsid w:val="00D977BD"/>
    <w:rsid w:val="00DA359A"/>
    <w:rsid w:val="00DA3FD9"/>
    <w:rsid w:val="00DA4F47"/>
    <w:rsid w:val="00DB1976"/>
    <w:rsid w:val="00DB1B55"/>
    <w:rsid w:val="00DB29CA"/>
    <w:rsid w:val="00DB2A21"/>
    <w:rsid w:val="00DB310F"/>
    <w:rsid w:val="00DB6A9C"/>
    <w:rsid w:val="00DB6FC8"/>
    <w:rsid w:val="00DB7B60"/>
    <w:rsid w:val="00DC0EF4"/>
    <w:rsid w:val="00DC1448"/>
    <w:rsid w:val="00DC243D"/>
    <w:rsid w:val="00DC4331"/>
    <w:rsid w:val="00DC75D8"/>
    <w:rsid w:val="00DD19A2"/>
    <w:rsid w:val="00DD4C0F"/>
    <w:rsid w:val="00DE033A"/>
    <w:rsid w:val="00DE59EC"/>
    <w:rsid w:val="00DE6930"/>
    <w:rsid w:val="00DE7C73"/>
    <w:rsid w:val="00DF0412"/>
    <w:rsid w:val="00DF5AC0"/>
    <w:rsid w:val="00E00018"/>
    <w:rsid w:val="00E00A50"/>
    <w:rsid w:val="00E00A5E"/>
    <w:rsid w:val="00E021D8"/>
    <w:rsid w:val="00E043FE"/>
    <w:rsid w:val="00E045DD"/>
    <w:rsid w:val="00E06AFC"/>
    <w:rsid w:val="00E06D3D"/>
    <w:rsid w:val="00E07894"/>
    <w:rsid w:val="00E112C1"/>
    <w:rsid w:val="00E119DC"/>
    <w:rsid w:val="00E126BF"/>
    <w:rsid w:val="00E14BAA"/>
    <w:rsid w:val="00E14EF8"/>
    <w:rsid w:val="00E161A1"/>
    <w:rsid w:val="00E16A7A"/>
    <w:rsid w:val="00E21DDE"/>
    <w:rsid w:val="00E22477"/>
    <w:rsid w:val="00E30809"/>
    <w:rsid w:val="00E30BDB"/>
    <w:rsid w:val="00E31787"/>
    <w:rsid w:val="00E317E7"/>
    <w:rsid w:val="00E321D8"/>
    <w:rsid w:val="00E3255D"/>
    <w:rsid w:val="00E3515A"/>
    <w:rsid w:val="00E36FE9"/>
    <w:rsid w:val="00E40C99"/>
    <w:rsid w:val="00E4215C"/>
    <w:rsid w:val="00E422DE"/>
    <w:rsid w:val="00E43727"/>
    <w:rsid w:val="00E4392C"/>
    <w:rsid w:val="00E44974"/>
    <w:rsid w:val="00E457BF"/>
    <w:rsid w:val="00E50927"/>
    <w:rsid w:val="00E51BAF"/>
    <w:rsid w:val="00E52C31"/>
    <w:rsid w:val="00E54C25"/>
    <w:rsid w:val="00E570CF"/>
    <w:rsid w:val="00E57C8F"/>
    <w:rsid w:val="00E60473"/>
    <w:rsid w:val="00E60E1D"/>
    <w:rsid w:val="00E63CB3"/>
    <w:rsid w:val="00E6762B"/>
    <w:rsid w:val="00E70D71"/>
    <w:rsid w:val="00E70E87"/>
    <w:rsid w:val="00E739F2"/>
    <w:rsid w:val="00E7422C"/>
    <w:rsid w:val="00E74334"/>
    <w:rsid w:val="00E74B53"/>
    <w:rsid w:val="00E756EC"/>
    <w:rsid w:val="00E8002B"/>
    <w:rsid w:val="00E8084E"/>
    <w:rsid w:val="00E811B7"/>
    <w:rsid w:val="00E82134"/>
    <w:rsid w:val="00E82A26"/>
    <w:rsid w:val="00E85289"/>
    <w:rsid w:val="00E85F27"/>
    <w:rsid w:val="00E87EF9"/>
    <w:rsid w:val="00E9208C"/>
    <w:rsid w:val="00E92674"/>
    <w:rsid w:val="00E92C12"/>
    <w:rsid w:val="00E94A7D"/>
    <w:rsid w:val="00E952D0"/>
    <w:rsid w:val="00EA1940"/>
    <w:rsid w:val="00EA2920"/>
    <w:rsid w:val="00EA334B"/>
    <w:rsid w:val="00EA380E"/>
    <w:rsid w:val="00EA3AAB"/>
    <w:rsid w:val="00EA6035"/>
    <w:rsid w:val="00EA65B4"/>
    <w:rsid w:val="00EB183D"/>
    <w:rsid w:val="00EB2032"/>
    <w:rsid w:val="00EB69A3"/>
    <w:rsid w:val="00EC1B8E"/>
    <w:rsid w:val="00EC209F"/>
    <w:rsid w:val="00EC34B9"/>
    <w:rsid w:val="00EC6889"/>
    <w:rsid w:val="00EC724F"/>
    <w:rsid w:val="00EC76E3"/>
    <w:rsid w:val="00ED3BFF"/>
    <w:rsid w:val="00ED6965"/>
    <w:rsid w:val="00ED7277"/>
    <w:rsid w:val="00ED7CCB"/>
    <w:rsid w:val="00EE41B7"/>
    <w:rsid w:val="00EE6455"/>
    <w:rsid w:val="00EE6ABB"/>
    <w:rsid w:val="00EE6C26"/>
    <w:rsid w:val="00EF1BCC"/>
    <w:rsid w:val="00EF35BA"/>
    <w:rsid w:val="00EF3646"/>
    <w:rsid w:val="00EF6324"/>
    <w:rsid w:val="00EF7779"/>
    <w:rsid w:val="00F002A8"/>
    <w:rsid w:val="00F009DE"/>
    <w:rsid w:val="00F0311F"/>
    <w:rsid w:val="00F03B1E"/>
    <w:rsid w:val="00F0427C"/>
    <w:rsid w:val="00F044E6"/>
    <w:rsid w:val="00F0551C"/>
    <w:rsid w:val="00F05931"/>
    <w:rsid w:val="00F05D66"/>
    <w:rsid w:val="00F060E2"/>
    <w:rsid w:val="00F10226"/>
    <w:rsid w:val="00F129A8"/>
    <w:rsid w:val="00F12DB6"/>
    <w:rsid w:val="00F1320F"/>
    <w:rsid w:val="00F144DD"/>
    <w:rsid w:val="00F167C4"/>
    <w:rsid w:val="00F178AE"/>
    <w:rsid w:val="00F17E97"/>
    <w:rsid w:val="00F20B32"/>
    <w:rsid w:val="00F21BFC"/>
    <w:rsid w:val="00F24C1A"/>
    <w:rsid w:val="00F35B9A"/>
    <w:rsid w:val="00F35E23"/>
    <w:rsid w:val="00F42F02"/>
    <w:rsid w:val="00F449D2"/>
    <w:rsid w:val="00F45A63"/>
    <w:rsid w:val="00F524FD"/>
    <w:rsid w:val="00F55886"/>
    <w:rsid w:val="00F55AD5"/>
    <w:rsid w:val="00F57264"/>
    <w:rsid w:val="00F6072B"/>
    <w:rsid w:val="00F61FE9"/>
    <w:rsid w:val="00F63365"/>
    <w:rsid w:val="00F6593F"/>
    <w:rsid w:val="00F669F4"/>
    <w:rsid w:val="00F70FC1"/>
    <w:rsid w:val="00F7103B"/>
    <w:rsid w:val="00F71322"/>
    <w:rsid w:val="00F71987"/>
    <w:rsid w:val="00F758E5"/>
    <w:rsid w:val="00F75B19"/>
    <w:rsid w:val="00F75DEF"/>
    <w:rsid w:val="00F76314"/>
    <w:rsid w:val="00F7718B"/>
    <w:rsid w:val="00F839AF"/>
    <w:rsid w:val="00F85166"/>
    <w:rsid w:val="00F929EC"/>
    <w:rsid w:val="00F92F38"/>
    <w:rsid w:val="00F97DF6"/>
    <w:rsid w:val="00FA07DF"/>
    <w:rsid w:val="00FA18AE"/>
    <w:rsid w:val="00FA40F9"/>
    <w:rsid w:val="00FB0F87"/>
    <w:rsid w:val="00FB1316"/>
    <w:rsid w:val="00FB221A"/>
    <w:rsid w:val="00FB32F3"/>
    <w:rsid w:val="00FB50CF"/>
    <w:rsid w:val="00FB54B4"/>
    <w:rsid w:val="00FB5514"/>
    <w:rsid w:val="00FB5D90"/>
    <w:rsid w:val="00FB67D1"/>
    <w:rsid w:val="00FB7132"/>
    <w:rsid w:val="00FC005D"/>
    <w:rsid w:val="00FC2D5C"/>
    <w:rsid w:val="00FC6658"/>
    <w:rsid w:val="00FC6E7F"/>
    <w:rsid w:val="00FC6F21"/>
    <w:rsid w:val="00FD1383"/>
    <w:rsid w:val="00FD13F4"/>
    <w:rsid w:val="00FD3007"/>
    <w:rsid w:val="00FD6669"/>
    <w:rsid w:val="00FD7050"/>
    <w:rsid w:val="00FE0DC5"/>
    <w:rsid w:val="00FE1072"/>
    <w:rsid w:val="00FE13E6"/>
    <w:rsid w:val="00FE2309"/>
    <w:rsid w:val="00FE3B1B"/>
    <w:rsid w:val="00FE3EF1"/>
    <w:rsid w:val="00FE46AB"/>
    <w:rsid w:val="00FF0E0A"/>
    <w:rsid w:val="00FF1E44"/>
    <w:rsid w:val="00FF2D24"/>
    <w:rsid w:val="00FF40C3"/>
    <w:rsid w:val="00FF4F9D"/>
    <w:rsid w:val="00FF5B58"/>
    <w:rsid w:val="00FF5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AED8AD4"/>
  <w15:chartTrackingRefBased/>
  <w15:docId w15:val="{2A32ED78-5D30-4951-9D55-518EC047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B77"/>
    <w:pPr>
      <w:spacing w:after="160" w:line="259" w:lineRule="auto"/>
    </w:pPr>
    <w:rPr>
      <w:rFonts w:ascii="Times New Roman" w:hAnsi="Times New Roman"/>
      <w:sz w:val="24"/>
      <w:szCs w:val="22"/>
      <w:lang w:val="en-US" w:eastAsia="zh-TW"/>
    </w:rPr>
  </w:style>
  <w:style w:type="paragraph" w:styleId="Heading1">
    <w:name w:val="heading 1"/>
    <w:basedOn w:val="Normal"/>
    <w:next w:val="Normal"/>
    <w:link w:val="Heading1Char"/>
    <w:uiPriority w:val="9"/>
    <w:qFormat/>
    <w:rsid w:val="00D34D48"/>
    <w:pPr>
      <w:keepNext/>
      <w:spacing w:before="240" w:after="240" w:line="240" w:lineRule="auto"/>
      <w:outlineLvl w:val="0"/>
    </w:pPr>
    <w:rPr>
      <w:rFonts w:eastAsia="Times New Roman"/>
      <w:b/>
      <w:szCs w:val="24"/>
      <w:lang w:eastAsia="en-US"/>
    </w:rPr>
  </w:style>
  <w:style w:type="paragraph" w:styleId="Heading2">
    <w:name w:val="heading 2"/>
    <w:basedOn w:val="Normal"/>
    <w:next w:val="Normal"/>
    <w:link w:val="Heading2Char"/>
    <w:uiPriority w:val="9"/>
    <w:unhideWhenUsed/>
    <w:qFormat/>
    <w:rsid w:val="00D34D48"/>
    <w:pPr>
      <w:keepNext/>
      <w:spacing w:before="240" w:after="240" w:line="240" w:lineRule="auto"/>
      <w:outlineLvl w:val="1"/>
    </w:pPr>
    <w:rPr>
      <w:rFonts w:eastAsia="Times New Roman"/>
      <w:b/>
      <w:sz w:val="22"/>
      <w:lang w:eastAsia="en-US"/>
    </w:rPr>
  </w:style>
  <w:style w:type="paragraph" w:styleId="Heading3">
    <w:name w:val="heading 3"/>
    <w:basedOn w:val="Normal"/>
    <w:next w:val="Normal"/>
    <w:link w:val="Heading3Char"/>
    <w:uiPriority w:val="9"/>
    <w:semiHidden/>
    <w:unhideWhenUsed/>
    <w:qFormat/>
    <w:rsid w:val="00D34D48"/>
    <w:pPr>
      <w:keepNext/>
      <w:keepLines/>
      <w:spacing w:before="280" w:after="80" w:line="240" w:lineRule="auto"/>
      <w:outlineLvl w:val="2"/>
    </w:pPr>
    <w:rPr>
      <w:rFonts w:eastAsia="Times New Roman"/>
      <w:b/>
      <w:sz w:val="28"/>
      <w:szCs w:val="28"/>
      <w:lang w:eastAsia="en-US"/>
    </w:rPr>
  </w:style>
  <w:style w:type="paragraph" w:styleId="Heading4">
    <w:name w:val="heading 4"/>
    <w:basedOn w:val="Normal"/>
    <w:next w:val="Normal"/>
    <w:link w:val="Heading4Char"/>
    <w:uiPriority w:val="9"/>
    <w:semiHidden/>
    <w:unhideWhenUsed/>
    <w:qFormat/>
    <w:rsid w:val="00D34D48"/>
    <w:pPr>
      <w:keepNext/>
      <w:keepLines/>
      <w:spacing w:before="240" w:after="40" w:line="240" w:lineRule="auto"/>
      <w:outlineLvl w:val="3"/>
    </w:pPr>
    <w:rPr>
      <w:rFonts w:eastAsia="Times New Roman"/>
      <w:b/>
      <w:szCs w:val="24"/>
      <w:lang w:eastAsia="en-US"/>
    </w:rPr>
  </w:style>
  <w:style w:type="paragraph" w:styleId="Heading5">
    <w:name w:val="heading 5"/>
    <w:basedOn w:val="Normal"/>
    <w:next w:val="Normal"/>
    <w:link w:val="Heading5Char"/>
    <w:uiPriority w:val="9"/>
    <w:semiHidden/>
    <w:unhideWhenUsed/>
    <w:qFormat/>
    <w:rsid w:val="00D34D48"/>
    <w:pPr>
      <w:keepNext/>
      <w:keepLines/>
      <w:spacing w:before="220" w:after="40" w:line="240" w:lineRule="auto"/>
      <w:outlineLvl w:val="4"/>
    </w:pPr>
    <w:rPr>
      <w:rFonts w:eastAsia="Times New Roman"/>
      <w:b/>
      <w:sz w:val="22"/>
      <w:lang w:eastAsia="en-US"/>
    </w:rPr>
  </w:style>
  <w:style w:type="paragraph" w:styleId="Heading6">
    <w:name w:val="heading 6"/>
    <w:basedOn w:val="Normal"/>
    <w:next w:val="Normal"/>
    <w:link w:val="Heading6Char"/>
    <w:uiPriority w:val="9"/>
    <w:semiHidden/>
    <w:unhideWhenUsed/>
    <w:qFormat/>
    <w:rsid w:val="00D34D48"/>
    <w:pPr>
      <w:keepNext/>
      <w:keepLines/>
      <w:spacing w:before="200" w:after="40" w:line="240" w:lineRule="auto"/>
      <w:outlineLvl w:val="5"/>
    </w:pPr>
    <w:rPr>
      <w:rFonts w:eastAsia="Times New Roman"/>
      <w:b/>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9AF"/>
    <w:pPr>
      <w:tabs>
        <w:tab w:val="center" w:pos="4320"/>
        <w:tab w:val="right" w:pos="8640"/>
      </w:tabs>
      <w:spacing w:after="0" w:line="240" w:lineRule="auto"/>
    </w:pPr>
    <w:rPr>
      <w:szCs w:val="20"/>
      <w:lang w:val="x-none" w:eastAsia="x-none"/>
    </w:rPr>
  </w:style>
  <w:style w:type="character" w:customStyle="1" w:styleId="HeaderChar">
    <w:name w:val="Header Char"/>
    <w:link w:val="Header"/>
    <w:uiPriority w:val="99"/>
    <w:rsid w:val="00F839AF"/>
    <w:rPr>
      <w:rFonts w:ascii="Times New Roman" w:hAnsi="Times New Roman"/>
      <w:sz w:val="24"/>
    </w:rPr>
  </w:style>
  <w:style w:type="paragraph" w:styleId="Footer">
    <w:name w:val="footer"/>
    <w:basedOn w:val="Normal"/>
    <w:link w:val="FooterChar"/>
    <w:uiPriority w:val="99"/>
    <w:unhideWhenUsed/>
    <w:rsid w:val="00F839AF"/>
    <w:pPr>
      <w:tabs>
        <w:tab w:val="center" w:pos="4320"/>
        <w:tab w:val="right" w:pos="8640"/>
      </w:tabs>
      <w:spacing w:after="0" w:line="240" w:lineRule="auto"/>
    </w:pPr>
    <w:rPr>
      <w:szCs w:val="20"/>
      <w:lang w:val="x-none" w:eastAsia="x-none"/>
    </w:rPr>
  </w:style>
  <w:style w:type="character" w:customStyle="1" w:styleId="FooterChar">
    <w:name w:val="Footer Char"/>
    <w:link w:val="Footer"/>
    <w:uiPriority w:val="99"/>
    <w:rsid w:val="00F839AF"/>
    <w:rPr>
      <w:rFonts w:ascii="Times New Roman" w:hAnsi="Times New Roman"/>
      <w:sz w:val="24"/>
    </w:rPr>
  </w:style>
  <w:style w:type="table" w:styleId="TableGrid">
    <w:name w:val="Table Grid"/>
    <w:basedOn w:val="TableNormal"/>
    <w:uiPriority w:val="59"/>
    <w:rsid w:val="00F83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7E52"/>
    <w:pPr>
      <w:ind w:left="720"/>
      <w:contextualSpacing/>
    </w:pPr>
  </w:style>
  <w:style w:type="character" w:styleId="Hyperlink">
    <w:name w:val="Hyperlink"/>
    <w:uiPriority w:val="99"/>
    <w:unhideWhenUsed/>
    <w:rsid w:val="00C56485"/>
    <w:rPr>
      <w:color w:val="0000FF"/>
      <w:u w:val="single"/>
    </w:rPr>
  </w:style>
  <w:style w:type="paragraph" w:styleId="HTMLPreformatted">
    <w:name w:val="HTML Preformatted"/>
    <w:basedOn w:val="Normal"/>
    <w:link w:val="HTMLPreformattedChar"/>
    <w:uiPriority w:val="99"/>
    <w:semiHidden/>
    <w:unhideWhenUsed/>
    <w:rsid w:val="009C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eastAsia="MingLiU" w:hAnsi="MingLiU"/>
      <w:szCs w:val="24"/>
      <w:lang w:val="x-none" w:eastAsia="x-none"/>
    </w:rPr>
  </w:style>
  <w:style w:type="character" w:customStyle="1" w:styleId="HTMLPreformattedChar">
    <w:name w:val="HTML Preformatted Char"/>
    <w:link w:val="HTMLPreformatted"/>
    <w:uiPriority w:val="99"/>
    <w:semiHidden/>
    <w:rsid w:val="009C72DC"/>
    <w:rPr>
      <w:rFonts w:ascii="MingLiU" w:eastAsia="MingLiU" w:hAnsi="MingLiU" w:cs="MingLiU"/>
      <w:sz w:val="24"/>
      <w:szCs w:val="24"/>
    </w:rPr>
  </w:style>
  <w:style w:type="paragraph" w:styleId="Title">
    <w:name w:val="Title"/>
    <w:basedOn w:val="Normal"/>
    <w:next w:val="Normal"/>
    <w:link w:val="TitleChar"/>
    <w:uiPriority w:val="10"/>
    <w:qFormat/>
    <w:rsid w:val="00E7422C"/>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E7422C"/>
    <w:rPr>
      <w:rFonts w:ascii="Calibri Light" w:eastAsia="Times New Roman" w:hAnsi="Calibri Light" w:cs="Times New Roman"/>
      <w:b/>
      <w:bCs/>
      <w:kern w:val="28"/>
      <w:sz w:val="32"/>
      <w:szCs w:val="32"/>
      <w:lang w:eastAsia="zh-TW"/>
    </w:rPr>
  </w:style>
  <w:style w:type="character" w:customStyle="1" w:styleId="Heading1Char">
    <w:name w:val="Heading 1 Char"/>
    <w:link w:val="Heading1"/>
    <w:uiPriority w:val="9"/>
    <w:rsid w:val="00D34D48"/>
    <w:rPr>
      <w:rFonts w:ascii="Times New Roman" w:eastAsia="Times New Roman" w:hAnsi="Times New Roman"/>
      <w:b/>
      <w:sz w:val="24"/>
      <w:szCs w:val="24"/>
    </w:rPr>
  </w:style>
  <w:style w:type="character" w:customStyle="1" w:styleId="Heading2Char">
    <w:name w:val="Heading 2 Char"/>
    <w:link w:val="Heading2"/>
    <w:uiPriority w:val="9"/>
    <w:rsid w:val="00D34D48"/>
    <w:rPr>
      <w:rFonts w:ascii="Times New Roman" w:eastAsia="Times New Roman" w:hAnsi="Times New Roman"/>
      <w:b/>
      <w:sz w:val="22"/>
      <w:szCs w:val="22"/>
    </w:rPr>
  </w:style>
  <w:style w:type="character" w:customStyle="1" w:styleId="Heading3Char">
    <w:name w:val="Heading 3 Char"/>
    <w:link w:val="Heading3"/>
    <w:uiPriority w:val="9"/>
    <w:semiHidden/>
    <w:rsid w:val="00D34D48"/>
    <w:rPr>
      <w:rFonts w:ascii="Times New Roman" w:eastAsia="Times New Roman" w:hAnsi="Times New Roman"/>
      <w:b/>
      <w:sz w:val="28"/>
      <w:szCs w:val="28"/>
    </w:rPr>
  </w:style>
  <w:style w:type="character" w:customStyle="1" w:styleId="Heading4Char">
    <w:name w:val="Heading 4 Char"/>
    <w:link w:val="Heading4"/>
    <w:uiPriority w:val="9"/>
    <w:semiHidden/>
    <w:rsid w:val="00D34D48"/>
    <w:rPr>
      <w:rFonts w:ascii="Times New Roman" w:eastAsia="Times New Roman" w:hAnsi="Times New Roman"/>
      <w:b/>
      <w:sz w:val="24"/>
      <w:szCs w:val="24"/>
    </w:rPr>
  </w:style>
  <w:style w:type="character" w:customStyle="1" w:styleId="Heading5Char">
    <w:name w:val="Heading 5 Char"/>
    <w:link w:val="Heading5"/>
    <w:uiPriority w:val="9"/>
    <w:semiHidden/>
    <w:rsid w:val="00D34D48"/>
    <w:rPr>
      <w:rFonts w:ascii="Times New Roman" w:eastAsia="Times New Roman" w:hAnsi="Times New Roman"/>
      <w:b/>
      <w:sz w:val="22"/>
      <w:szCs w:val="22"/>
    </w:rPr>
  </w:style>
  <w:style w:type="character" w:customStyle="1" w:styleId="Heading6Char">
    <w:name w:val="Heading 6 Char"/>
    <w:link w:val="Heading6"/>
    <w:uiPriority w:val="9"/>
    <w:semiHidden/>
    <w:rsid w:val="00D34D48"/>
    <w:rPr>
      <w:rFonts w:ascii="Times New Roman" w:eastAsia="Times New Roman" w:hAnsi="Times New Roman"/>
      <w:b/>
    </w:rPr>
  </w:style>
  <w:style w:type="paragraph" w:styleId="Subtitle">
    <w:name w:val="Subtitle"/>
    <w:basedOn w:val="Normal"/>
    <w:next w:val="Normal"/>
    <w:link w:val="SubtitleChar"/>
    <w:uiPriority w:val="11"/>
    <w:qFormat/>
    <w:rsid w:val="00D34D48"/>
    <w:pPr>
      <w:keepNext/>
      <w:keepLines/>
      <w:spacing w:before="360" w:after="80" w:line="240" w:lineRule="auto"/>
    </w:pPr>
    <w:rPr>
      <w:rFonts w:ascii="Georgia" w:eastAsia="Georgia" w:hAnsi="Georgia" w:cs="Georgia"/>
      <w:i/>
      <w:color w:val="666666"/>
      <w:sz w:val="48"/>
      <w:szCs w:val="48"/>
      <w:lang w:eastAsia="en-US"/>
    </w:rPr>
  </w:style>
  <w:style w:type="character" w:customStyle="1" w:styleId="SubtitleChar">
    <w:name w:val="Subtitle Char"/>
    <w:link w:val="Subtitle"/>
    <w:uiPriority w:val="11"/>
    <w:rsid w:val="00D34D48"/>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D34D48"/>
    <w:pPr>
      <w:spacing w:after="0" w:line="240" w:lineRule="auto"/>
    </w:pPr>
    <w:rPr>
      <w:rFonts w:eastAsia="Times New Roman"/>
      <w:sz w:val="20"/>
      <w:szCs w:val="20"/>
      <w:lang w:eastAsia="en-US"/>
    </w:rPr>
  </w:style>
  <w:style w:type="character" w:customStyle="1" w:styleId="CommentTextChar">
    <w:name w:val="Comment Text Char"/>
    <w:link w:val="CommentText"/>
    <w:uiPriority w:val="99"/>
    <w:semiHidden/>
    <w:rsid w:val="00D34D48"/>
    <w:rPr>
      <w:rFonts w:ascii="Times New Roman" w:eastAsia="Times New Roman" w:hAnsi="Times New Roman"/>
    </w:rPr>
  </w:style>
  <w:style w:type="paragraph" w:styleId="BalloonText">
    <w:name w:val="Balloon Text"/>
    <w:basedOn w:val="Normal"/>
    <w:link w:val="BalloonTextChar"/>
    <w:uiPriority w:val="99"/>
    <w:semiHidden/>
    <w:unhideWhenUsed/>
    <w:rsid w:val="00D34D48"/>
    <w:pPr>
      <w:spacing w:after="0" w:line="240" w:lineRule="auto"/>
    </w:pPr>
    <w:rPr>
      <w:rFonts w:ascii="Segoe UI" w:eastAsia="Times New Roman" w:hAnsi="Segoe UI" w:cs="Segoe UI"/>
      <w:sz w:val="20"/>
      <w:szCs w:val="18"/>
      <w:lang w:eastAsia="en-US"/>
    </w:rPr>
  </w:style>
  <w:style w:type="character" w:customStyle="1" w:styleId="BalloonTextChar">
    <w:name w:val="Balloon Text Char"/>
    <w:link w:val="BalloonText"/>
    <w:uiPriority w:val="99"/>
    <w:semiHidden/>
    <w:rsid w:val="00D34D48"/>
    <w:rPr>
      <w:rFonts w:ascii="Segoe UI" w:eastAsia="Times New Roman" w:hAnsi="Segoe UI" w:cs="Segoe UI"/>
      <w:szCs w:val="18"/>
    </w:rPr>
  </w:style>
  <w:style w:type="character" w:styleId="CommentReference">
    <w:name w:val="annotation reference"/>
    <w:uiPriority w:val="99"/>
    <w:semiHidden/>
    <w:unhideWhenUsed/>
    <w:rsid w:val="00D34D48"/>
    <w:rPr>
      <w:sz w:val="16"/>
      <w:szCs w:val="16"/>
    </w:rPr>
  </w:style>
  <w:style w:type="paragraph" w:styleId="CommentSubject">
    <w:name w:val="annotation subject"/>
    <w:basedOn w:val="CommentText"/>
    <w:next w:val="CommentText"/>
    <w:link w:val="CommentSubjectChar"/>
    <w:uiPriority w:val="99"/>
    <w:semiHidden/>
    <w:unhideWhenUsed/>
    <w:rsid w:val="00D34D48"/>
    <w:rPr>
      <w:b/>
      <w:bCs/>
    </w:rPr>
  </w:style>
  <w:style w:type="character" w:customStyle="1" w:styleId="CommentSubjectChar">
    <w:name w:val="Comment Subject Char"/>
    <w:link w:val="CommentSubject"/>
    <w:uiPriority w:val="99"/>
    <w:semiHidden/>
    <w:rsid w:val="00D34D48"/>
    <w:rPr>
      <w:rFonts w:ascii="Times New Roman" w:eastAsia="Times New Roman" w:hAnsi="Times New Roman"/>
      <w:b/>
      <w:bCs/>
    </w:rPr>
  </w:style>
  <w:style w:type="character" w:customStyle="1" w:styleId="UnresolvedMention1">
    <w:name w:val="Unresolved Mention1"/>
    <w:uiPriority w:val="99"/>
    <w:semiHidden/>
    <w:unhideWhenUsed/>
    <w:rsid w:val="00D34D48"/>
    <w:rPr>
      <w:color w:val="605E5C"/>
      <w:shd w:val="clear" w:color="auto" w:fill="E1DFDD"/>
    </w:rPr>
  </w:style>
  <w:style w:type="character" w:styleId="PlaceholderText">
    <w:name w:val="Placeholder Text"/>
    <w:uiPriority w:val="99"/>
    <w:semiHidden/>
    <w:rsid w:val="00D34D48"/>
    <w:rPr>
      <w:color w:val="808080"/>
    </w:rPr>
  </w:style>
  <w:style w:type="character" w:customStyle="1" w:styleId="UnresolvedMention2">
    <w:name w:val="Unresolved Mention2"/>
    <w:uiPriority w:val="99"/>
    <w:semiHidden/>
    <w:unhideWhenUsed/>
    <w:rsid w:val="00D34D48"/>
    <w:rPr>
      <w:color w:val="605E5C"/>
      <w:shd w:val="clear" w:color="auto" w:fill="E1DFDD"/>
    </w:rPr>
  </w:style>
  <w:style w:type="paragraph" w:customStyle="1" w:styleId="Default">
    <w:name w:val="Default"/>
    <w:rsid w:val="00D34D48"/>
    <w:pPr>
      <w:autoSpaceDE w:val="0"/>
      <w:autoSpaceDN w:val="0"/>
      <w:adjustRightInd w:val="0"/>
    </w:pPr>
    <w:rPr>
      <w:rFonts w:ascii="Times New Roman" w:eastAsia="Times New Roman" w:hAnsi="Times New Roman"/>
      <w:color w:val="000000"/>
      <w:sz w:val="24"/>
      <w:szCs w:val="24"/>
      <w:lang w:val="en-US" w:eastAsia="en-US"/>
    </w:rPr>
  </w:style>
  <w:style w:type="character" w:styleId="UnresolvedMention">
    <w:name w:val="Unresolved Mention"/>
    <w:uiPriority w:val="99"/>
    <w:semiHidden/>
    <w:unhideWhenUsed/>
    <w:rsid w:val="00D34D48"/>
    <w:rPr>
      <w:color w:val="605E5C"/>
      <w:shd w:val="clear" w:color="auto" w:fill="E1DFDD"/>
    </w:rPr>
  </w:style>
  <w:style w:type="paragraph" w:styleId="NoSpacing">
    <w:name w:val="No Spacing"/>
    <w:uiPriority w:val="1"/>
    <w:qFormat/>
    <w:rsid w:val="00D34D48"/>
    <w:rPr>
      <w:rFonts w:ascii="Times New Roman" w:eastAsia="Times New Roman" w:hAnsi="Times New Roman"/>
      <w:sz w:val="24"/>
      <w:szCs w:val="24"/>
      <w:lang w:val="en-US" w:eastAsia="en-US"/>
    </w:rPr>
  </w:style>
  <w:style w:type="character" w:styleId="FollowedHyperlink">
    <w:name w:val="FollowedHyperlink"/>
    <w:uiPriority w:val="99"/>
    <w:semiHidden/>
    <w:unhideWhenUsed/>
    <w:rsid w:val="007266F1"/>
    <w:rPr>
      <w:color w:val="954F72"/>
      <w:u w:val="single"/>
    </w:rPr>
  </w:style>
  <w:style w:type="paragraph" w:styleId="NormalWeb">
    <w:name w:val="Normal (Web)"/>
    <w:basedOn w:val="Normal"/>
    <w:uiPriority w:val="99"/>
    <w:unhideWhenUsed/>
    <w:rsid w:val="005E37D7"/>
    <w:rPr>
      <w:rFonts w:eastAsia="Calibri"/>
      <w:szCs w:val="24"/>
      <w:lang w:eastAsia="en-US"/>
    </w:rPr>
  </w:style>
  <w:style w:type="character" w:customStyle="1" w:styleId="UnresolvedMention3">
    <w:name w:val="Unresolved Mention3"/>
    <w:uiPriority w:val="99"/>
    <w:semiHidden/>
    <w:unhideWhenUsed/>
    <w:rsid w:val="00B255D6"/>
    <w:rPr>
      <w:color w:val="605E5C"/>
      <w:shd w:val="clear" w:color="auto" w:fill="E1DFDD"/>
    </w:rPr>
  </w:style>
  <w:style w:type="paragraph" w:styleId="Revision">
    <w:name w:val="Revision"/>
    <w:hidden/>
    <w:uiPriority w:val="99"/>
    <w:semiHidden/>
    <w:rsid w:val="00B255D6"/>
    <w:rPr>
      <w:rFonts w:ascii="Times New Roman" w:hAnsi="Times New Roman"/>
      <w:sz w:val="24"/>
      <w:szCs w:val="22"/>
      <w:lang w:val="en-US" w:eastAsia="zh-TW"/>
    </w:rPr>
  </w:style>
  <w:style w:type="paragraph" w:styleId="DocumentMap">
    <w:name w:val="Document Map"/>
    <w:basedOn w:val="Normal"/>
    <w:link w:val="DocumentMapChar"/>
    <w:uiPriority w:val="99"/>
    <w:semiHidden/>
    <w:unhideWhenUsed/>
    <w:rsid w:val="00B255D6"/>
    <w:pPr>
      <w:spacing w:after="0" w:line="240" w:lineRule="auto"/>
    </w:pPr>
    <w:rPr>
      <w:rFonts w:ascii="Lucida Grande" w:hAnsi="Lucida Grande" w:cs="Lucida Grande"/>
      <w:szCs w:val="24"/>
    </w:rPr>
  </w:style>
  <w:style w:type="character" w:customStyle="1" w:styleId="DocumentMapChar">
    <w:name w:val="Document Map Char"/>
    <w:link w:val="DocumentMap"/>
    <w:uiPriority w:val="99"/>
    <w:semiHidden/>
    <w:rsid w:val="00B255D6"/>
    <w:rPr>
      <w:rFonts w:ascii="Lucida Grande" w:hAnsi="Lucida Grande" w:cs="Lucida Grande"/>
      <w:sz w:val="24"/>
      <w:szCs w:val="24"/>
      <w:lang w:eastAsia="zh-TW"/>
    </w:rPr>
  </w:style>
  <w:style w:type="paragraph" w:customStyle="1" w:styleId="gmail-msonospacing">
    <w:name w:val="gmail-msonospacing"/>
    <w:basedOn w:val="Normal"/>
    <w:rsid w:val="00080B93"/>
    <w:pPr>
      <w:spacing w:before="100" w:beforeAutospacing="1" w:after="100" w:afterAutospacing="1" w:line="240" w:lineRule="auto"/>
    </w:pPr>
    <w:rPr>
      <w:rFonts w:eastAsia="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25365">
      <w:bodyDiv w:val="1"/>
      <w:marLeft w:val="0"/>
      <w:marRight w:val="0"/>
      <w:marTop w:val="0"/>
      <w:marBottom w:val="0"/>
      <w:divBdr>
        <w:top w:val="none" w:sz="0" w:space="0" w:color="auto"/>
        <w:left w:val="none" w:sz="0" w:space="0" w:color="auto"/>
        <w:bottom w:val="none" w:sz="0" w:space="0" w:color="auto"/>
        <w:right w:val="none" w:sz="0" w:space="0" w:color="auto"/>
      </w:divBdr>
    </w:div>
    <w:div w:id="232467123">
      <w:bodyDiv w:val="1"/>
      <w:marLeft w:val="0"/>
      <w:marRight w:val="0"/>
      <w:marTop w:val="0"/>
      <w:marBottom w:val="0"/>
      <w:divBdr>
        <w:top w:val="none" w:sz="0" w:space="0" w:color="auto"/>
        <w:left w:val="none" w:sz="0" w:space="0" w:color="auto"/>
        <w:bottom w:val="none" w:sz="0" w:space="0" w:color="auto"/>
        <w:right w:val="none" w:sz="0" w:space="0" w:color="auto"/>
      </w:divBdr>
    </w:div>
    <w:div w:id="256211961">
      <w:bodyDiv w:val="1"/>
      <w:marLeft w:val="0"/>
      <w:marRight w:val="0"/>
      <w:marTop w:val="0"/>
      <w:marBottom w:val="0"/>
      <w:divBdr>
        <w:top w:val="none" w:sz="0" w:space="0" w:color="auto"/>
        <w:left w:val="none" w:sz="0" w:space="0" w:color="auto"/>
        <w:bottom w:val="none" w:sz="0" w:space="0" w:color="auto"/>
        <w:right w:val="none" w:sz="0" w:space="0" w:color="auto"/>
      </w:divBdr>
    </w:div>
    <w:div w:id="276378905">
      <w:bodyDiv w:val="1"/>
      <w:marLeft w:val="0"/>
      <w:marRight w:val="0"/>
      <w:marTop w:val="0"/>
      <w:marBottom w:val="0"/>
      <w:divBdr>
        <w:top w:val="none" w:sz="0" w:space="0" w:color="auto"/>
        <w:left w:val="none" w:sz="0" w:space="0" w:color="auto"/>
        <w:bottom w:val="none" w:sz="0" w:space="0" w:color="auto"/>
        <w:right w:val="none" w:sz="0" w:space="0" w:color="auto"/>
      </w:divBdr>
    </w:div>
    <w:div w:id="424688310">
      <w:bodyDiv w:val="1"/>
      <w:marLeft w:val="0"/>
      <w:marRight w:val="0"/>
      <w:marTop w:val="0"/>
      <w:marBottom w:val="0"/>
      <w:divBdr>
        <w:top w:val="none" w:sz="0" w:space="0" w:color="auto"/>
        <w:left w:val="none" w:sz="0" w:space="0" w:color="auto"/>
        <w:bottom w:val="none" w:sz="0" w:space="0" w:color="auto"/>
        <w:right w:val="none" w:sz="0" w:space="0" w:color="auto"/>
      </w:divBdr>
    </w:div>
    <w:div w:id="426969490">
      <w:bodyDiv w:val="1"/>
      <w:marLeft w:val="0"/>
      <w:marRight w:val="0"/>
      <w:marTop w:val="0"/>
      <w:marBottom w:val="0"/>
      <w:divBdr>
        <w:top w:val="none" w:sz="0" w:space="0" w:color="auto"/>
        <w:left w:val="none" w:sz="0" w:space="0" w:color="auto"/>
        <w:bottom w:val="none" w:sz="0" w:space="0" w:color="auto"/>
        <w:right w:val="none" w:sz="0" w:space="0" w:color="auto"/>
      </w:divBdr>
    </w:div>
    <w:div w:id="544606395">
      <w:bodyDiv w:val="1"/>
      <w:marLeft w:val="0"/>
      <w:marRight w:val="0"/>
      <w:marTop w:val="0"/>
      <w:marBottom w:val="0"/>
      <w:divBdr>
        <w:top w:val="none" w:sz="0" w:space="0" w:color="auto"/>
        <w:left w:val="none" w:sz="0" w:space="0" w:color="auto"/>
        <w:bottom w:val="none" w:sz="0" w:space="0" w:color="auto"/>
        <w:right w:val="none" w:sz="0" w:space="0" w:color="auto"/>
      </w:divBdr>
      <w:divsChild>
        <w:div w:id="116996531">
          <w:marLeft w:val="0"/>
          <w:marRight w:val="0"/>
          <w:marTop w:val="0"/>
          <w:marBottom w:val="0"/>
          <w:divBdr>
            <w:top w:val="none" w:sz="0" w:space="0" w:color="auto"/>
            <w:left w:val="none" w:sz="0" w:space="0" w:color="auto"/>
            <w:bottom w:val="none" w:sz="0" w:space="0" w:color="auto"/>
            <w:right w:val="none" w:sz="0" w:space="0" w:color="auto"/>
          </w:divBdr>
        </w:div>
      </w:divsChild>
    </w:div>
    <w:div w:id="613025084">
      <w:bodyDiv w:val="1"/>
      <w:marLeft w:val="0"/>
      <w:marRight w:val="0"/>
      <w:marTop w:val="0"/>
      <w:marBottom w:val="0"/>
      <w:divBdr>
        <w:top w:val="none" w:sz="0" w:space="0" w:color="auto"/>
        <w:left w:val="none" w:sz="0" w:space="0" w:color="auto"/>
        <w:bottom w:val="none" w:sz="0" w:space="0" w:color="auto"/>
        <w:right w:val="none" w:sz="0" w:space="0" w:color="auto"/>
      </w:divBdr>
      <w:divsChild>
        <w:div w:id="1345548739">
          <w:marLeft w:val="0"/>
          <w:marRight w:val="0"/>
          <w:marTop w:val="0"/>
          <w:marBottom w:val="0"/>
          <w:divBdr>
            <w:top w:val="none" w:sz="0" w:space="0" w:color="auto"/>
            <w:left w:val="none" w:sz="0" w:space="0" w:color="auto"/>
            <w:bottom w:val="none" w:sz="0" w:space="0" w:color="auto"/>
            <w:right w:val="none" w:sz="0" w:space="0" w:color="auto"/>
          </w:divBdr>
          <w:divsChild>
            <w:div w:id="1937909147">
              <w:marLeft w:val="0"/>
              <w:marRight w:val="0"/>
              <w:marTop w:val="0"/>
              <w:marBottom w:val="0"/>
              <w:divBdr>
                <w:top w:val="none" w:sz="0" w:space="0" w:color="auto"/>
                <w:left w:val="none" w:sz="0" w:space="0" w:color="auto"/>
                <w:bottom w:val="none" w:sz="0" w:space="0" w:color="auto"/>
                <w:right w:val="none" w:sz="0" w:space="0" w:color="auto"/>
              </w:divBdr>
              <w:divsChild>
                <w:div w:id="1474105815">
                  <w:marLeft w:val="0"/>
                  <w:marRight w:val="0"/>
                  <w:marTop w:val="0"/>
                  <w:marBottom w:val="0"/>
                  <w:divBdr>
                    <w:top w:val="none" w:sz="0" w:space="0" w:color="auto"/>
                    <w:left w:val="none" w:sz="0" w:space="0" w:color="auto"/>
                    <w:bottom w:val="none" w:sz="0" w:space="0" w:color="auto"/>
                    <w:right w:val="none" w:sz="0" w:space="0" w:color="auto"/>
                  </w:divBdr>
                  <w:divsChild>
                    <w:div w:id="1971477983">
                      <w:marLeft w:val="0"/>
                      <w:marRight w:val="0"/>
                      <w:marTop w:val="0"/>
                      <w:marBottom w:val="0"/>
                      <w:divBdr>
                        <w:top w:val="none" w:sz="0" w:space="0" w:color="auto"/>
                        <w:left w:val="none" w:sz="0" w:space="0" w:color="auto"/>
                        <w:bottom w:val="none" w:sz="0" w:space="0" w:color="auto"/>
                        <w:right w:val="none" w:sz="0" w:space="0" w:color="auto"/>
                      </w:divBdr>
                      <w:divsChild>
                        <w:div w:id="1429348340">
                          <w:marLeft w:val="0"/>
                          <w:marRight w:val="0"/>
                          <w:marTop w:val="0"/>
                          <w:marBottom w:val="0"/>
                          <w:divBdr>
                            <w:top w:val="none" w:sz="0" w:space="0" w:color="auto"/>
                            <w:left w:val="none" w:sz="0" w:space="0" w:color="auto"/>
                            <w:bottom w:val="none" w:sz="0" w:space="0" w:color="auto"/>
                            <w:right w:val="none" w:sz="0" w:space="0" w:color="auto"/>
                          </w:divBdr>
                        </w:div>
                      </w:divsChild>
                    </w:div>
                    <w:div w:id="812214886">
                      <w:marLeft w:val="0"/>
                      <w:marRight w:val="0"/>
                      <w:marTop w:val="0"/>
                      <w:marBottom w:val="0"/>
                      <w:divBdr>
                        <w:top w:val="none" w:sz="0" w:space="0" w:color="auto"/>
                        <w:left w:val="none" w:sz="0" w:space="0" w:color="auto"/>
                        <w:bottom w:val="none" w:sz="0" w:space="0" w:color="auto"/>
                        <w:right w:val="none" w:sz="0" w:space="0" w:color="auto"/>
                      </w:divBdr>
                    </w:div>
                    <w:div w:id="1604340820">
                      <w:marLeft w:val="0"/>
                      <w:marRight w:val="0"/>
                      <w:marTop w:val="0"/>
                      <w:marBottom w:val="0"/>
                      <w:divBdr>
                        <w:top w:val="none" w:sz="0" w:space="0" w:color="auto"/>
                        <w:left w:val="none" w:sz="0" w:space="0" w:color="auto"/>
                        <w:bottom w:val="none" w:sz="0" w:space="0" w:color="auto"/>
                        <w:right w:val="none" w:sz="0" w:space="0" w:color="auto"/>
                      </w:divBdr>
                    </w:div>
                    <w:div w:id="1264455624">
                      <w:marLeft w:val="0"/>
                      <w:marRight w:val="0"/>
                      <w:marTop w:val="0"/>
                      <w:marBottom w:val="0"/>
                      <w:divBdr>
                        <w:top w:val="none" w:sz="0" w:space="0" w:color="auto"/>
                        <w:left w:val="none" w:sz="0" w:space="0" w:color="auto"/>
                        <w:bottom w:val="none" w:sz="0" w:space="0" w:color="auto"/>
                        <w:right w:val="none" w:sz="0" w:space="0" w:color="auto"/>
                      </w:divBdr>
                    </w:div>
                    <w:div w:id="1358583993">
                      <w:marLeft w:val="0"/>
                      <w:marRight w:val="0"/>
                      <w:marTop w:val="0"/>
                      <w:marBottom w:val="0"/>
                      <w:divBdr>
                        <w:top w:val="none" w:sz="0" w:space="0" w:color="auto"/>
                        <w:left w:val="none" w:sz="0" w:space="0" w:color="auto"/>
                        <w:bottom w:val="none" w:sz="0" w:space="0" w:color="auto"/>
                        <w:right w:val="none" w:sz="0" w:space="0" w:color="auto"/>
                      </w:divBdr>
                      <w:divsChild>
                        <w:div w:id="389769712">
                          <w:marLeft w:val="0"/>
                          <w:marRight w:val="0"/>
                          <w:marTop w:val="0"/>
                          <w:marBottom w:val="0"/>
                          <w:divBdr>
                            <w:top w:val="none" w:sz="0" w:space="0" w:color="auto"/>
                            <w:left w:val="none" w:sz="0" w:space="0" w:color="auto"/>
                            <w:bottom w:val="none" w:sz="0" w:space="0" w:color="auto"/>
                            <w:right w:val="none" w:sz="0" w:space="0" w:color="auto"/>
                          </w:divBdr>
                          <w:divsChild>
                            <w:div w:id="6573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434769">
                      <w:marLeft w:val="0"/>
                      <w:marRight w:val="0"/>
                      <w:marTop w:val="0"/>
                      <w:marBottom w:val="0"/>
                      <w:divBdr>
                        <w:top w:val="none" w:sz="0" w:space="0" w:color="auto"/>
                        <w:left w:val="none" w:sz="0" w:space="0" w:color="auto"/>
                        <w:bottom w:val="none" w:sz="0" w:space="0" w:color="auto"/>
                        <w:right w:val="none" w:sz="0" w:space="0" w:color="auto"/>
                      </w:divBdr>
                      <w:divsChild>
                        <w:div w:id="334694976">
                          <w:marLeft w:val="0"/>
                          <w:marRight w:val="0"/>
                          <w:marTop w:val="0"/>
                          <w:marBottom w:val="0"/>
                          <w:divBdr>
                            <w:top w:val="none" w:sz="0" w:space="0" w:color="auto"/>
                            <w:left w:val="none" w:sz="0" w:space="0" w:color="auto"/>
                            <w:bottom w:val="none" w:sz="0" w:space="0" w:color="auto"/>
                            <w:right w:val="none" w:sz="0" w:space="0" w:color="auto"/>
                          </w:divBdr>
                          <w:divsChild>
                            <w:div w:id="115830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78670">
                      <w:marLeft w:val="0"/>
                      <w:marRight w:val="0"/>
                      <w:marTop w:val="0"/>
                      <w:marBottom w:val="0"/>
                      <w:divBdr>
                        <w:top w:val="none" w:sz="0" w:space="0" w:color="auto"/>
                        <w:left w:val="none" w:sz="0" w:space="0" w:color="auto"/>
                        <w:bottom w:val="none" w:sz="0" w:space="0" w:color="auto"/>
                        <w:right w:val="none" w:sz="0" w:space="0" w:color="auto"/>
                      </w:divBdr>
                      <w:divsChild>
                        <w:div w:id="1921912664">
                          <w:marLeft w:val="0"/>
                          <w:marRight w:val="0"/>
                          <w:marTop w:val="0"/>
                          <w:marBottom w:val="0"/>
                          <w:divBdr>
                            <w:top w:val="none" w:sz="0" w:space="0" w:color="auto"/>
                            <w:left w:val="none" w:sz="0" w:space="0" w:color="auto"/>
                            <w:bottom w:val="none" w:sz="0" w:space="0" w:color="auto"/>
                            <w:right w:val="none" w:sz="0" w:space="0" w:color="auto"/>
                          </w:divBdr>
                          <w:divsChild>
                            <w:div w:id="41748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28300">
                      <w:marLeft w:val="0"/>
                      <w:marRight w:val="0"/>
                      <w:marTop w:val="0"/>
                      <w:marBottom w:val="0"/>
                      <w:divBdr>
                        <w:top w:val="none" w:sz="0" w:space="0" w:color="auto"/>
                        <w:left w:val="none" w:sz="0" w:space="0" w:color="auto"/>
                        <w:bottom w:val="none" w:sz="0" w:space="0" w:color="auto"/>
                        <w:right w:val="none" w:sz="0" w:space="0" w:color="auto"/>
                      </w:divBdr>
                      <w:divsChild>
                        <w:div w:id="1834029657">
                          <w:marLeft w:val="0"/>
                          <w:marRight w:val="0"/>
                          <w:marTop w:val="0"/>
                          <w:marBottom w:val="0"/>
                          <w:divBdr>
                            <w:top w:val="none" w:sz="0" w:space="0" w:color="auto"/>
                            <w:left w:val="none" w:sz="0" w:space="0" w:color="auto"/>
                            <w:bottom w:val="none" w:sz="0" w:space="0" w:color="auto"/>
                            <w:right w:val="none" w:sz="0" w:space="0" w:color="auto"/>
                          </w:divBdr>
                          <w:divsChild>
                            <w:div w:id="144476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17910">
                      <w:marLeft w:val="0"/>
                      <w:marRight w:val="0"/>
                      <w:marTop w:val="0"/>
                      <w:marBottom w:val="0"/>
                      <w:divBdr>
                        <w:top w:val="none" w:sz="0" w:space="0" w:color="auto"/>
                        <w:left w:val="none" w:sz="0" w:space="0" w:color="auto"/>
                        <w:bottom w:val="none" w:sz="0" w:space="0" w:color="auto"/>
                        <w:right w:val="none" w:sz="0" w:space="0" w:color="auto"/>
                      </w:divBdr>
                      <w:divsChild>
                        <w:div w:id="1772120816">
                          <w:marLeft w:val="0"/>
                          <w:marRight w:val="0"/>
                          <w:marTop w:val="0"/>
                          <w:marBottom w:val="0"/>
                          <w:divBdr>
                            <w:top w:val="none" w:sz="0" w:space="0" w:color="auto"/>
                            <w:left w:val="none" w:sz="0" w:space="0" w:color="auto"/>
                            <w:bottom w:val="none" w:sz="0" w:space="0" w:color="auto"/>
                            <w:right w:val="none" w:sz="0" w:space="0" w:color="auto"/>
                          </w:divBdr>
                          <w:divsChild>
                            <w:div w:id="26249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276449">
                      <w:marLeft w:val="0"/>
                      <w:marRight w:val="0"/>
                      <w:marTop w:val="0"/>
                      <w:marBottom w:val="0"/>
                      <w:divBdr>
                        <w:top w:val="none" w:sz="0" w:space="0" w:color="auto"/>
                        <w:left w:val="none" w:sz="0" w:space="0" w:color="auto"/>
                        <w:bottom w:val="none" w:sz="0" w:space="0" w:color="auto"/>
                        <w:right w:val="none" w:sz="0" w:space="0" w:color="auto"/>
                      </w:divBdr>
                    </w:div>
                    <w:div w:id="446004643">
                      <w:marLeft w:val="0"/>
                      <w:marRight w:val="0"/>
                      <w:marTop w:val="0"/>
                      <w:marBottom w:val="0"/>
                      <w:divBdr>
                        <w:top w:val="none" w:sz="0" w:space="0" w:color="auto"/>
                        <w:left w:val="none" w:sz="0" w:space="0" w:color="auto"/>
                        <w:bottom w:val="none" w:sz="0" w:space="0" w:color="auto"/>
                        <w:right w:val="none" w:sz="0" w:space="0" w:color="auto"/>
                      </w:divBdr>
                    </w:div>
                    <w:div w:id="11321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68396">
          <w:marLeft w:val="0"/>
          <w:marRight w:val="0"/>
          <w:marTop w:val="0"/>
          <w:marBottom w:val="0"/>
          <w:divBdr>
            <w:top w:val="none" w:sz="0" w:space="0" w:color="auto"/>
            <w:left w:val="none" w:sz="0" w:space="0" w:color="auto"/>
            <w:bottom w:val="none" w:sz="0" w:space="0" w:color="auto"/>
            <w:right w:val="none" w:sz="0" w:space="0" w:color="auto"/>
          </w:divBdr>
          <w:divsChild>
            <w:div w:id="1020201142">
              <w:marLeft w:val="0"/>
              <w:marRight w:val="0"/>
              <w:marTop w:val="0"/>
              <w:marBottom w:val="0"/>
              <w:divBdr>
                <w:top w:val="none" w:sz="0" w:space="0" w:color="auto"/>
                <w:left w:val="none" w:sz="0" w:space="0" w:color="auto"/>
                <w:bottom w:val="none" w:sz="0" w:space="0" w:color="auto"/>
                <w:right w:val="none" w:sz="0" w:space="0" w:color="auto"/>
              </w:divBdr>
              <w:divsChild>
                <w:div w:id="1314289327">
                  <w:marLeft w:val="0"/>
                  <w:marRight w:val="0"/>
                  <w:marTop w:val="0"/>
                  <w:marBottom w:val="0"/>
                  <w:divBdr>
                    <w:top w:val="none" w:sz="0" w:space="0" w:color="auto"/>
                    <w:left w:val="none" w:sz="0" w:space="0" w:color="auto"/>
                    <w:bottom w:val="none" w:sz="0" w:space="0" w:color="auto"/>
                    <w:right w:val="none" w:sz="0" w:space="0" w:color="auto"/>
                  </w:divBdr>
                  <w:divsChild>
                    <w:div w:id="6563618">
                      <w:marLeft w:val="0"/>
                      <w:marRight w:val="0"/>
                      <w:marTop w:val="0"/>
                      <w:marBottom w:val="0"/>
                      <w:divBdr>
                        <w:top w:val="none" w:sz="0" w:space="0" w:color="auto"/>
                        <w:left w:val="none" w:sz="0" w:space="0" w:color="auto"/>
                        <w:bottom w:val="none" w:sz="0" w:space="0" w:color="auto"/>
                        <w:right w:val="none" w:sz="0" w:space="0" w:color="auto"/>
                      </w:divBdr>
                      <w:divsChild>
                        <w:div w:id="1276906505">
                          <w:marLeft w:val="0"/>
                          <w:marRight w:val="0"/>
                          <w:marTop w:val="0"/>
                          <w:marBottom w:val="0"/>
                          <w:divBdr>
                            <w:top w:val="none" w:sz="0" w:space="0" w:color="auto"/>
                            <w:left w:val="none" w:sz="0" w:space="0" w:color="auto"/>
                            <w:bottom w:val="none" w:sz="0" w:space="0" w:color="auto"/>
                            <w:right w:val="none" w:sz="0" w:space="0" w:color="auto"/>
                          </w:divBdr>
                          <w:divsChild>
                            <w:div w:id="1889489160">
                              <w:marLeft w:val="0"/>
                              <w:marRight w:val="0"/>
                              <w:marTop w:val="0"/>
                              <w:marBottom w:val="0"/>
                              <w:divBdr>
                                <w:top w:val="none" w:sz="0" w:space="0" w:color="auto"/>
                                <w:left w:val="none" w:sz="0" w:space="0" w:color="auto"/>
                                <w:bottom w:val="none" w:sz="0" w:space="0" w:color="auto"/>
                                <w:right w:val="none" w:sz="0" w:space="0" w:color="auto"/>
                              </w:divBdr>
                              <w:divsChild>
                                <w:div w:id="1619027842">
                                  <w:marLeft w:val="0"/>
                                  <w:marRight w:val="0"/>
                                  <w:marTop w:val="30"/>
                                  <w:marBottom w:val="0"/>
                                  <w:divBdr>
                                    <w:top w:val="none" w:sz="0" w:space="0" w:color="auto"/>
                                    <w:left w:val="none" w:sz="0" w:space="0" w:color="auto"/>
                                    <w:bottom w:val="none" w:sz="0" w:space="0" w:color="auto"/>
                                    <w:right w:val="none" w:sz="0" w:space="0" w:color="auto"/>
                                  </w:divBdr>
                                </w:div>
                                <w:div w:id="122886461">
                                  <w:marLeft w:val="0"/>
                                  <w:marRight w:val="0"/>
                                  <w:marTop w:val="30"/>
                                  <w:marBottom w:val="0"/>
                                  <w:divBdr>
                                    <w:top w:val="none" w:sz="0" w:space="0" w:color="auto"/>
                                    <w:left w:val="none" w:sz="0" w:space="0" w:color="auto"/>
                                    <w:bottom w:val="none" w:sz="0" w:space="0" w:color="auto"/>
                                    <w:right w:val="none" w:sz="0" w:space="0" w:color="auto"/>
                                  </w:divBdr>
                                </w:div>
                                <w:div w:id="1419594830">
                                  <w:marLeft w:val="0"/>
                                  <w:marRight w:val="0"/>
                                  <w:marTop w:val="30"/>
                                  <w:marBottom w:val="0"/>
                                  <w:divBdr>
                                    <w:top w:val="none" w:sz="0" w:space="0" w:color="auto"/>
                                    <w:left w:val="none" w:sz="0" w:space="0" w:color="auto"/>
                                    <w:bottom w:val="none" w:sz="0" w:space="0" w:color="auto"/>
                                    <w:right w:val="none" w:sz="0" w:space="0" w:color="auto"/>
                                  </w:divBdr>
                                </w:div>
                              </w:divsChild>
                            </w:div>
                            <w:div w:id="666633855">
                              <w:marLeft w:val="0"/>
                              <w:marRight w:val="0"/>
                              <w:marTop w:val="0"/>
                              <w:marBottom w:val="0"/>
                              <w:divBdr>
                                <w:top w:val="none" w:sz="0" w:space="0" w:color="auto"/>
                                <w:left w:val="none" w:sz="0" w:space="0" w:color="auto"/>
                                <w:bottom w:val="none" w:sz="0" w:space="0" w:color="auto"/>
                                <w:right w:val="none" w:sz="0" w:space="0" w:color="auto"/>
                              </w:divBdr>
                              <w:divsChild>
                                <w:div w:id="1755785103">
                                  <w:marLeft w:val="0"/>
                                  <w:marRight w:val="0"/>
                                  <w:marTop w:val="30"/>
                                  <w:marBottom w:val="0"/>
                                  <w:divBdr>
                                    <w:top w:val="none" w:sz="0" w:space="0" w:color="auto"/>
                                    <w:left w:val="none" w:sz="0" w:space="0" w:color="auto"/>
                                    <w:bottom w:val="none" w:sz="0" w:space="0" w:color="auto"/>
                                    <w:right w:val="none" w:sz="0" w:space="0" w:color="auto"/>
                                  </w:divBdr>
                                </w:div>
                                <w:div w:id="1046880336">
                                  <w:marLeft w:val="0"/>
                                  <w:marRight w:val="0"/>
                                  <w:marTop w:val="30"/>
                                  <w:marBottom w:val="0"/>
                                  <w:divBdr>
                                    <w:top w:val="none" w:sz="0" w:space="0" w:color="auto"/>
                                    <w:left w:val="none" w:sz="0" w:space="0" w:color="auto"/>
                                    <w:bottom w:val="none" w:sz="0" w:space="0" w:color="auto"/>
                                    <w:right w:val="none" w:sz="0" w:space="0" w:color="auto"/>
                                  </w:divBdr>
                                </w:div>
                                <w:div w:id="7480397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67918901">
                          <w:marLeft w:val="0"/>
                          <w:marRight w:val="0"/>
                          <w:marTop w:val="195"/>
                          <w:marBottom w:val="0"/>
                          <w:divBdr>
                            <w:top w:val="single" w:sz="12" w:space="11" w:color="E9EEEF"/>
                            <w:left w:val="none" w:sz="0" w:space="0" w:color="auto"/>
                            <w:bottom w:val="none" w:sz="0" w:space="0" w:color="auto"/>
                            <w:right w:val="none" w:sz="0" w:space="0" w:color="auto"/>
                          </w:divBdr>
                          <w:divsChild>
                            <w:div w:id="6906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7493925">
      <w:bodyDiv w:val="1"/>
      <w:marLeft w:val="0"/>
      <w:marRight w:val="0"/>
      <w:marTop w:val="0"/>
      <w:marBottom w:val="0"/>
      <w:divBdr>
        <w:top w:val="none" w:sz="0" w:space="0" w:color="auto"/>
        <w:left w:val="none" w:sz="0" w:space="0" w:color="auto"/>
        <w:bottom w:val="none" w:sz="0" w:space="0" w:color="auto"/>
        <w:right w:val="none" w:sz="0" w:space="0" w:color="auto"/>
      </w:divBdr>
    </w:div>
    <w:div w:id="665014884">
      <w:bodyDiv w:val="1"/>
      <w:marLeft w:val="0"/>
      <w:marRight w:val="0"/>
      <w:marTop w:val="0"/>
      <w:marBottom w:val="0"/>
      <w:divBdr>
        <w:top w:val="none" w:sz="0" w:space="0" w:color="auto"/>
        <w:left w:val="none" w:sz="0" w:space="0" w:color="auto"/>
        <w:bottom w:val="none" w:sz="0" w:space="0" w:color="auto"/>
        <w:right w:val="none" w:sz="0" w:space="0" w:color="auto"/>
      </w:divBdr>
      <w:divsChild>
        <w:div w:id="515462751">
          <w:marLeft w:val="0"/>
          <w:marRight w:val="0"/>
          <w:marTop w:val="0"/>
          <w:marBottom w:val="0"/>
          <w:divBdr>
            <w:top w:val="none" w:sz="0" w:space="0" w:color="auto"/>
            <w:left w:val="none" w:sz="0" w:space="0" w:color="auto"/>
            <w:bottom w:val="none" w:sz="0" w:space="0" w:color="auto"/>
            <w:right w:val="none" w:sz="0" w:space="0" w:color="auto"/>
          </w:divBdr>
        </w:div>
      </w:divsChild>
    </w:div>
    <w:div w:id="724184663">
      <w:bodyDiv w:val="1"/>
      <w:marLeft w:val="0"/>
      <w:marRight w:val="0"/>
      <w:marTop w:val="0"/>
      <w:marBottom w:val="0"/>
      <w:divBdr>
        <w:top w:val="none" w:sz="0" w:space="0" w:color="auto"/>
        <w:left w:val="none" w:sz="0" w:space="0" w:color="auto"/>
        <w:bottom w:val="none" w:sz="0" w:space="0" w:color="auto"/>
        <w:right w:val="none" w:sz="0" w:space="0" w:color="auto"/>
      </w:divBdr>
      <w:divsChild>
        <w:div w:id="1244140470">
          <w:marLeft w:val="0"/>
          <w:marRight w:val="0"/>
          <w:marTop w:val="0"/>
          <w:marBottom w:val="0"/>
          <w:divBdr>
            <w:top w:val="none" w:sz="0" w:space="0" w:color="auto"/>
            <w:left w:val="none" w:sz="0" w:space="0" w:color="auto"/>
            <w:bottom w:val="none" w:sz="0" w:space="0" w:color="auto"/>
            <w:right w:val="none" w:sz="0" w:space="0" w:color="auto"/>
          </w:divBdr>
        </w:div>
      </w:divsChild>
    </w:div>
    <w:div w:id="754011335">
      <w:bodyDiv w:val="1"/>
      <w:marLeft w:val="0"/>
      <w:marRight w:val="0"/>
      <w:marTop w:val="0"/>
      <w:marBottom w:val="0"/>
      <w:divBdr>
        <w:top w:val="none" w:sz="0" w:space="0" w:color="auto"/>
        <w:left w:val="none" w:sz="0" w:space="0" w:color="auto"/>
        <w:bottom w:val="none" w:sz="0" w:space="0" w:color="auto"/>
        <w:right w:val="none" w:sz="0" w:space="0" w:color="auto"/>
      </w:divBdr>
      <w:divsChild>
        <w:div w:id="553083779">
          <w:marLeft w:val="0"/>
          <w:marRight w:val="0"/>
          <w:marTop w:val="0"/>
          <w:marBottom w:val="0"/>
          <w:divBdr>
            <w:top w:val="none" w:sz="0" w:space="0" w:color="auto"/>
            <w:left w:val="none" w:sz="0" w:space="0" w:color="auto"/>
            <w:bottom w:val="none" w:sz="0" w:space="0" w:color="auto"/>
            <w:right w:val="none" w:sz="0" w:space="0" w:color="auto"/>
          </w:divBdr>
        </w:div>
      </w:divsChild>
    </w:div>
    <w:div w:id="765149608">
      <w:bodyDiv w:val="1"/>
      <w:marLeft w:val="0"/>
      <w:marRight w:val="0"/>
      <w:marTop w:val="0"/>
      <w:marBottom w:val="0"/>
      <w:divBdr>
        <w:top w:val="none" w:sz="0" w:space="0" w:color="auto"/>
        <w:left w:val="none" w:sz="0" w:space="0" w:color="auto"/>
        <w:bottom w:val="none" w:sz="0" w:space="0" w:color="auto"/>
        <w:right w:val="none" w:sz="0" w:space="0" w:color="auto"/>
      </w:divBdr>
    </w:div>
    <w:div w:id="787965607">
      <w:bodyDiv w:val="1"/>
      <w:marLeft w:val="0"/>
      <w:marRight w:val="0"/>
      <w:marTop w:val="0"/>
      <w:marBottom w:val="0"/>
      <w:divBdr>
        <w:top w:val="none" w:sz="0" w:space="0" w:color="auto"/>
        <w:left w:val="none" w:sz="0" w:space="0" w:color="auto"/>
        <w:bottom w:val="none" w:sz="0" w:space="0" w:color="auto"/>
        <w:right w:val="none" w:sz="0" w:space="0" w:color="auto"/>
      </w:divBdr>
    </w:div>
    <w:div w:id="849877396">
      <w:bodyDiv w:val="1"/>
      <w:marLeft w:val="0"/>
      <w:marRight w:val="0"/>
      <w:marTop w:val="0"/>
      <w:marBottom w:val="0"/>
      <w:divBdr>
        <w:top w:val="none" w:sz="0" w:space="0" w:color="auto"/>
        <w:left w:val="none" w:sz="0" w:space="0" w:color="auto"/>
        <w:bottom w:val="none" w:sz="0" w:space="0" w:color="auto"/>
        <w:right w:val="none" w:sz="0" w:space="0" w:color="auto"/>
      </w:divBdr>
    </w:div>
    <w:div w:id="859855841">
      <w:bodyDiv w:val="1"/>
      <w:marLeft w:val="0"/>
      <w:marRight w:val="0"/>
      <w:marTop w:val="0"/>
      <w:marBottom w:val="0"/>
      <w:divBdr>
        <w:top w:val="none" w:sz="0" w:space="0" w:color="auto"/>
        <w:left w:val="none" w:sz="0" w:space="0" w:color="auto"/>
        <w:bottom w:val="none" w:sz="0" w:space="0" w:color="auto"/>
        <w:right w:val="none" w:sz="0" w:space="0" w:color="auto"/>
      </w:divBdr>
    </w:div>
    <w:div w:id="886138895">
      <w:bodyDiv w:val="1"/>
      <w:marLeft w:val="0"/>
      <w:marRight w:val="0"/>
      <w:marTop w:val="0"/>
      <w:marBottom w:val="0"/>
      <w:divBdr>
        <w:top w:val="none" w:sz="0" w:space="0" w:color="auto"/>
        <w:left w:val="none" w:sz="0" w:space="0" w:color="auto"/>
        <w:bottom w:val="none" w:sz="0" w:space="0" w:color="auto"/>
        <w:right w:val="none" w:sz="0" w:space="0" w:color="auto"/>
      </w:divBdr>
    </w:div>
    <w:div w:id="915359039">
      <w:bodyDiv w:val="1"/>
      <w:marLeft w:val="0"/>
      <w:marRight w:val="0"/>
      <w:marTop w:val="0"/>
      <w:marBottom w:val="0"/>
      <w:divBdr>
        <w:top w:val="none" w:sz="0" w:space="0" w:color="auto"/>
        <w:left w:val="none" w:sz="0" w:space="0" w:color="auto"/>
        <w:bottom w:val="none" w:sz="0" w:space="0" w:color="auto"/>
        <w:right w:val="none" w:sz="0" w:space="0" w:color="auto"/>
      </w:divBdr>
      <w:divsChild>
        <w:div w:id="107167426">
          <w:marLeft w:val="0"/>
          <w:marRight w:val="0"/>
          <w:marTop w:val="0"/>
          <w:marBottom w:val="0"/>
          <w:divBdr>
            <w:top w:val="none" w:sz="0" w:space="0" w:color="auto"/>
            <w:left w:val="none" w:sz="0" w:space="0" w:color="auto"/>
            <w:bottom w:val="none" w:sz="0" w:space="0" w:color="auto"/>
            <w:right w:val="none" w:sz="0" w:space="0" w:color="auto"/>
          </w:divBdr>
        </w:div>
      </w:divsChild>
    </w:div>
    <w:div w:id="1039208381">
      <w:bodyDiv w:val="1"/>
      <w:marLeft w:val="0"/>
      <w:marRight w:val="0"/>
      <w:marTop w:val="0"/>
      <w:marBottom w:val="0"/>
      <w:divBdr>
        <w:top w:val="none" w:sz="0" w:space="0" w:color="auto"/>
        <w:left w:val="none" w:sz="0" w:space="0" w:color="auto"/>
        <w:bottom w:val="none" w:sz="0" w:space="0" w:color="auto"/>
        <w:right w:val="none" w:sz="0" w:space="0" w:color="auto"/>
      </w:divBdr>
    </w:div>
    <w:div w:id="1047874896">
      <w:bodyDiv w:val="1"/>
      <w:marLeft w:val="0"/>
      <w:marRight w:val="0"/>
      <w:marTop w:val="0"/>
      <w:marBottom w:val="0"/>
      <w:divBdr>
        <w:top w:val="none" w:sz="0" w:space="0" w:color="auto"/>
        <w:left w:val="none" w:sz="0" w:space="0" w:color="auto"/>
        <w:bottom w:val="none" w:sz="0" w:space="0" w:color="auto"/>
        <w:right w:val="none" w:sz="0" w:space="0" w:color="auto"/>
      </w:divBdr>
    </w:div>
    <w:div w:id="1150250340">
      <w:bodyDiv w:val="1"/>
      <w:marLeft w:val="0"/>
      <w:marRight w:val="0"/>
      <w:marTop w:val="0"/>
      <w:marBottom w:val="0"/>
      <w:divBdr>
        <w:top w:val="none" w:sz="0" w:space="0" w:color="auto"/>
        <w:left w:val="none" w:sz="0" w:space="0" w:color="auto"/>
        <w:bottom w:val="none" w:sz="0" w:space="0" w:color="auto"/>
        <w:right w:val="none" w:sz="0" w:space="0" w:color="auto"/>
      </w:divBdr>
    </w:div>
    <w:div w:id="1191534014">
      <w:bodyDiv w:val="1"/>
      <w:marLeft w:val="0"/>
      <w:marRight w:val="0"/>
      <w:marTop w:val="0"/>
      <w:marBottom w:val="0"/>
      <w:divBdr>
        <w:top w:val="none" w:sz="0" w:space="0" w:color="auto"/>
        <w:left w:val="none" w:sz="0" w:space="0" w:color="auto"/>
        <w:bottom w:val="none" w:sz="0" w:space="0" w:color="auto"/>
        <w:right w:val="none" w:sz="0" w:space="0" w:color="auto"/>
      </w:divBdr>
    </w:div>
    <w:div w:id="1199011243">
      <w:bodyDiv w:val="1"/>
      <w:marLeft w:val="0"/>
      <w:marRight w:val="0"/>
      <w:marTop w:val="0"/>
      <w:marBottom w:val="0"/>
      <w:divBdr>
        <w:top w:val="none" w:sz="0" w:space="0" w:color="auto"/>
        <w:left w:val="none" w:sz="0" w:space="0" w:color="auto"/>
        <w:bottom w:val="none" w:sz="0" w:space="0" w:color="auto"/>
        <w:right w:val="none" w:sz="0" w:space="0" w:color="auto"/>
      </w:divBdr>
    </w:div>
    <w:div w:id="1265919362">
      <w:bodyDiv w:val="1"/>
      <w:marLeft w:val="0"/>
      <w:marRight w:val="0"/>
      <w:marTop w:val="0"/>
      <w:marBottom w:val="0"/>
      <w:divBdr>
        <w:top w:val="none" w:sz="0" w:space="0" w:color="auto"/>
        <w:left w:val="none" w:sz="0" w:space="0" w:color="auto"/>
        <w:bottom w:val="none" w:sz="0" w:space="0" w:color="auto"/>
        <w:right w:val="none" w:sz="0" w:space="0" w:color="auto"/>
      </w:divBdr>
      <w:divsChild>
        <w:div w:id="1111432019">
          <w:marLeft w:val="0"/>
          <w:marRight w:val="0"/>
          <w:marTop w:val="0"/>
          <w:marBottom w:val="0"/>
          <w:divBdr>
            <w:top w:val="none" w:sz="0" w:space="0" w:color="auto"/>
            <w:left w:val="none" w:sz="0" w:space="0" w:color="auto"/>
            <w:bottom w:val="none" w:sz="0" w:space="0" w:color="auto"/>
            <w:right w:val="none" w:sz="0" w:space="0" w:color="auto"/>
          </w:divBdr>
        </w:div>
      </w:divsChild>
    </w:div>
    <w:div w:id="1328091045">
      <w:bodyDiv w:val="1"/>
      <w:marLeft w:val="0"/>
      <w:marRight w:val="0"/>
      <w:marTop w:val="0"/>
      <w:marBottom w:val="0"/>
      <w:divBdr>
        <w:top w:val="none" w:sz="0" w:space="0" w:color="auto"/>
        <w:left w:val="none" w:sz="0" w:space="0" w:color="auto"/>
        <w:bottom w:val="none" w:sz="0" w:space="0" w:color="auto"/>
        <w:right w:val="none" w:sz="0" w:space="0" w:color="auto"/>
      </w:divBdr>
      <w:divsChild>
        <w:div w:id="2069566491">
          <w:marLeft w:val="0"/>
          <w:marRight w:val="0"/>
          <w:marTop w:val="0"/>
          <w:marBottom w:val="0"/>
          <w:divBdr>
            <w:top w:val="none" w:sz="0" w:space="0" w:color="auto"/>
            <w:left w:val="none" w:sz="0" w:space="0" w:color="auto"/>
            <w:bottom w:val="none" w:sz="0" w:space="0" w:color="auto"/>
            <w:right w:val="none" w:sz="0" w:space="0" w:color="auto"/>
          </w:divBdr>
        </w:div>
      </w:divsChild>
    </w:div>
    <w:div w:id="1385837604">
      <w:bodyDiv w:val="1"/>
      <w:marLeft w:val="0"/>
      <w:marRight w:val="0"/>
      <w:marTop w:val="0"/>
      <w:marBottom w:val="0"/>
      <w:divBdr>
        <w:top w:val="none" w:sz="0" w:space="0" w:color="auto"/>
        <w:left w:val="none" w:sz="0" w:space="0" w:color="auto"/>
        <w:bottom w:val="none" w:sz="0" w:space="0" w:color="auto"/>
        <w:right w:val="none" w:sz="0" w:space="0" w:color="auto"/>
      </w:divBdr>
    </w:div>
    <w:div w:id="1390611546">
      <w:bodyDiv w:val="1"/>
      <w:marLeft w:val="0"/>
      <w:marRight w:val="0"/>
      <w:marTop w:val="0"/>
      <w:marBottom w:val="0"/>
      <w:divBdr>
        <w:top w:val="none" w:sz="0" w:space="0" w:color="auto"/>
        <w:left w:val="none" w:sz="0" w:space="0" w:color="auto"/>
        <w:bottom w:val="none" w:sz="0" w:space="0" w:color="auto"/>
        <w:right w:val="none" w:sz="0" w:space="0" w:color="auto"/>
      </w:divBdr>
    </w:div>
    <w:div w:id="1486042831">
      <w:bodyDiv w:val="1"/>
      <w:marLeft w:val="0"/>
      <w:marRight w:val="0"/>
      <w:marTop w:val="0"/>
      <w:marBottom w:val="0"/>
      <w:divBdr>
        <w:top w:val="none" w:sz="0" w:space="0" w:color="auto"/>
        <w:left w:val="none" w:sz="0" w:space="0" w:color="auto"/>
        <w:bottom w:val="none" w:sz="0" w:space="0" w:color="auto"/>
        <w:right w:val="none" w:sz="0" w:space="0" w:color="auto"/>
      </w:divBdr>
      <w:divsChild>
        <w:div w:id="1915895391">
          <w:marLeft w:val="0"/>
          <w:marRight w:val="0"/>
          <w:marTop w:val="0"/>
          <w:marBottom w:val="0"/>
          <w:divBdr>
            <w:top w:val="none" w:sz="0" w:space="0" w:color="auto"/>
            <w:left w:val="none" w:sz="0" w:space="0" w:color="auto"/>
            <w:bottom w:val="none" w:sz="0" w:space="0" w:color="auto"/>
            <w:right w:val="none" w:sz="0" w:space="0" w:color="auto"/>
          </w:divBdr>
        </w:div>
      </w:divsChild>
    </w:div>
    <w:div w:id="1566641342">
      <w:bodyDiv w:val="1"/>
      <w:marLeft w:val="0"/>
      <w:marRight w:val="0"/>
      <w:marTop w:val="0"/>
      <w:marBottom w:val="0"/>
      <w:divBdr>
        <w:top w:val="none" w:sz="0" w:space="0" w:color="auto"/>
        <w:left w:val="none" w:sz="0" w:space="0" w:color="auto"/>
        <w:bottom w:val="none" w:sz="0" w:space="0" w:color="auto"/>
        <w:right w:val="none" w:sz="0" w:space="0" w:color="auto"/>
      </w:divBdr>
      <w:divsChild>
        <w:div w:id="1928148351">
          <w:marLeft w:val="0"/>
          <w:marRight w:val="0"/>
          <w:marTop w:val="0"/>
          <w:marBottom w:val="0"/>
          <w:divBdr>
            <w:top w:val="none" w:sz="0" w:space="0" w:color="auto"/>
            <w:left w:val="none" w:sz="0" w:space="0" w:color="auto"/>
            <w:bottom w:val="none" w:sz="0" w:space="0" w:color="auto"/>
            <w:right w:val="none" w:sz="0" w:space="0" w:color="auto"/>
          </w:divBdr>
        </w:div>
      </w:divsChild>
    </w:div>
    <w:div w:id="1574120896">
      <w:bodyDiv w:val="1"/>
      <w:marLeft w:val="0"/>
      <w:marRight w:val="0"/>
      <w:marTop w:val="0"/>
      <w:marBottom w:val="0"/>
      <w:divBdr>
        <w:top w:val="none" w:sz="0" w:space="0" w:color="auto"/>
        <w:left w:val="none" w:sz="0" w:space="0" w:color="auto"/>
        <w:bottom w:val="none" w:sz="0" w:space="0" w:color="auto"/>
        <w:right w:val="none" w:sz="0" w:space="0" w:color="auto"/>
      </w:divBdr>
      <w:divsChild>
        <w:div w:id="1398750048">
          <w:marLeft w:val="0"/>
          <w:marRight w:val="0"/>
          <w:marTop w:val="0"/>
          <w:marBottom w:val="0"/>
          <w:divBdr>
            <w:top w:val="none" w:sz="0" w:space="0" w:color="auto"/>
            <w:left w:val="none" w:sz="0" w:space="0" w:color="auto"/>
            <w:bottom w:val="none" w:sz="0" w:space="0" w:color="auto"/>
            <w:right w:val="none" w:sz="0" w:space="0" w:color="auto"/>
          </w:divBdr>
        </w:div>
      </w:divsChild>
    </w:div>
    <w:div w:id="1622371717">
      <w:bodyDiv w:val="1"/>
      <w:marLeft w:val="0"/>
      <w:marRight w:val="0"/>
      <w:marTop w:val="0"/>
      <w:marBottom w:val="0"/>
      <w:divBdr>
        <w:top w:val="none" w:sz="0" w:space="0" w:color="auto"/>
        <w:left w:val="none" w:sz="0" w:space="0" w:color="auto"/>
        <w:bottom w:val="none" w:sz="0" w:space="0" w:color="auto"/>
        <w:right w:val="none" w:sz="0" w:space="0" w:color="auto"/>
      </w:divBdr>
    </w:div>
    <w:div w:id="1683387996">
      <w:bodyDiv w:val="1"/>
      <w:marLeft w:val="0"/>
      <w:marRight w:val="0"/>
      <w:marTop w:val="0"/>
      <w:marBottom w:val="0"/>
      <w:divBdr>
        <w:top w:val="none" w:sz="0" w:space="0" w:color="auto"/>
        <w:left w:val="none" w:sz="0" w:space="0" w:color="auto"/>
        <w:bottom w:val="none" w:sz="0" w:space="0" w:color="auto"/>
        <w:right w:val="none" w:sz="0" w:space="0" w:color="auto"/>
      </w:divBdr>
      <w:divsChild>
        <w:div w:id="734933161">
          <w:marLeft w:val="0"/>
          <w:marRight w:val="0"/>
          <w:marTop w:val="0"/>
          <w:marBottom w:val="0"/>
          <w:divBdr>
            <w:top w:val="none" w:sz="0" w:space="0" w:color="auto"/>
            <w:left w:val="none" w:sz="0" w:space="0" w:color="auto"/>
            <w:bottom w:val="none" w:sz="0" w:space="0" w:color="auto"/>
            <w:right w:val="none" w:sz="0" w:space="0" w:color="auto"/>
          </w:divBdr>
        </w:div>
      </w:divsChild>
    </w:div>
    <w:div w:id="1792017551">
      <w:bodyDiv w:val="1"/>
      <w:marLeft w:val="0"/>
      <w:marRight w:val="0"/>
      <w:marTop w:val="0"/>
      <w:marBottom w:val="0"/>
      <w:divBdr>
        <w:top w:val="none" w:sz="0" w:space="0" w:color="auto"/>
        <w:left w:val="none" w:sz="0" w:space="0" w:color="auto"/>
        <w:bottom w:val="none" w:sz="0" w:space="0" w:color="auto"/>
        <w:right w:val="none" w:sz="0" w:space="0" w:color="auto"/>
      </w:divBdr>
    </w:div>
    <w:div w:id="1815096216">
      <w:bodyDiv w:val="1"/>
      <w:marLeft w:val="0"/>
      <w:marRight w:val="0"/>
      <w:marTop w:val="0"/>
      <w:marBottom w:val="0"/>
      <w:divBdr>
        <w:top w:val="none" w:sz="0" w:space="0" w:color="auto"/>
        <w:left w:val="none" w:sz="0" w:space="0" w:color="auto"/>
        <w:bottom w:val="none" w:sz="0" w:space="0" w:color="auto"/>
        <w:right w:val="none" w:sz="0" w:space="0" w:color="auto"/>
      </w:divBdr>
    </w:div>
    <w:div w:id="1842503209">
      <w:bodyDiv w:val="1"/>
      <w:marLeft w:val="0"/>
      <w:marRight w:val="0"/>
      <w:marTop w:val="0"/>
      <w:marBottom w:val="0"/>
      <w:divBdr>
        <w:top w:val="none" w:sz="0" w:space="0" w:color="auto"/>
        <w:left w:val="none" w:sz="0" w:space="0" w:color="auto"/>
        <w:bottom w:val="none" w:sz="0" w:space="0" w:color="auto"/>
        <w:right w:val="none" w:sz="0" w:space="0" w:color="auto"/>
      </w:divBdr>
    </w:div>
    <w:div w:id="1913932433">
      <w:bodyDiv w:val="1"/>
      <w:marLeft w:val="0"/>
      <w:marRight w:val="0"/>
      <w:marTop w:val="0"/>
      <w:marBottom w:val="0"/>
      <w:divBdr>
        <w:top w:val="none" w:sz="0" w:space="0" w:color="auto"/>
        <w:left w:val="none" w:sz="0" w:space="0" w:color="auto"/>
        <w:bottom w:val="none" w:sz="0" w:space="0" w:color="auto"/>
        <w:right w:val="none" w:sz="0" w:space="0" w:color="auto"/>
      </w:divBdr>
      <w:divsChild>
        <w:div w:id="2002388775">
          <w:marLeft w:val="0"/>
          <w:marRight w:val="0"/>
          <w:marTop w:val="0"/>
          <w:marBottom w:val="0"/>
          <w:divBdr>
            <w:top w:val="none" w:sz="0" w:space="0" w:color="auto"/>
            <w:left w:val="none" w:sz="0" w:space="0" w:color="auto"/>
            <w:bottom w:val="none" w:sz="0" w:space="0" w:color="auto"/>
            <w:right w:val="none" w:sz="0" w:space="0" w:color="auto"/>
          </w:divBdr>
        </w:div>
      </w:divsChild>
    </w:div>
    <w:div w:id="1936861885">
      <w:bodyDiv w:val="1"/>
      <w:marLeft w:val="0"/>
      <w:marRight w:val="0"/>
      <w:marTop w:val="0"/>
      <w:marBottom w:val="0"/>
      <w:divBdr>
        <w:top w:val="none" w:sz="0" w:space="0" w:color="auto"/>
        <w:left w:val="none" w:sz="0" w:space="0" w:color="auto"/>
        <w:bottom w:val="none" w:sz="0" w:space="0" w:color="auto"/>
        <w:right w:val="none" w:sz="0" w:space="0" w:color="auto"/>
      </w:divBdr>
    </w:div>
    <w:div w:id="1971089806">
      <w:bodyDiv w:val="1"/>
      <w:marLeft w:val="0"/>
      <w:marRight w:val="0"/>
      <w:marTop w:val="0"/>
      <w:marBottom w:val="0"/>
      <w:divBdr>
        <w:top w:val="none" w:sz="0" w:space="0" w:color="auto"/>
        <w:left w:val="none" w:sz="0" w:space="0" w:color="auto"/>
        <w:bottom w:val="none" w:sz="0" w:space="0" w:color="auto"/>
        <w:right w:val="none" w:sz="0" w:space="0" w:color="auto"/>
      </w:divBdr>
      <w:divsChild>
        <w:div w:id="8416780">
          <w:marLeft w:val="0"/>
          <w:marRight w:val="0"/>
          <w:marTop w:val="0"/>
          <w:marBottom w:val="0"/>
          <w:divBdr>
            <w:top w:val="none" w:sz="0" w:space="0" w:color="auto"/>
            <w:left w:val="none" w:sz="0" w:space="0" w:color="auto"/>
            <w:bottom w:val="none" w:sz="0" w:space="0" w:color="auto"/>
            <w:right w:val="none" w:sz="0" w:space="0" w:color="auto"/>
          </w:divBdr>
        </w:div>
      </w:divsChild>
    </w:div>
    <w:div w:id="1974630901">
      <w:bodyDiv w:val="1"/>
      <w:marLeft w:val="0"/>
      <w:marRight w:val="0"/>
      <w:marTop w:val="0"/>
      <w:marBottom w:val="0"/>
      <w:divBdr>
        <w:top w:val="none" w:sz="0" w:space="0" w:color="auto"/>
        <w:left w:val="none" w:sz="0" w:space="0" w:color="auto"/>
        <w:bottom w:val="none" w:sz="0" w:space="0" w:color="auto"/>
        <w:right w:val="none" w:sz="0" w:space="0" w:color="auto"/>
      </w:divBdr>
    </w:div>
    <w:div w:id="1992058389">
      <w:bodyDiv w:val="1"/>
      <w:marLeft w:val="0"/>
      <w:marRight w:val="0"/>
      <w:marTop w:val="0"/>
      <w:marBottom w:val="0"/>
      <w:divBdr>
        <w:top w:val="none" w:sz="0" w:space="0" w:color="auto"/>
        <w:left w:val="none" w:sz="0" w:space="0" w:color="auto"/>
        <w:bottom w:val="none" w:sz="0" w:space="0" w:color="auto"/>
        <w:right w:val="none" w:sz="0" w:space="0" w:color="auto"/>
      </w:divBdr>
    </w:div>
    <w:div w:id="2012482447">
      <w:bodyDiv w:val="1"/>
      <w:marLeft w:val="0"/>
      <w:marRight w:val="0"/>
      <w:marTop w:val="0"/>
      <w:marBottom w:val="0"/>
      <w:divBdr>
        <w:top w:val="none" w:sz="0" w:space="0" w:color="auto"/>
        <w:left w:val="none" w:sz="0" w:space="0" w:color="auto"/>
        <w:bottom w:val="none" w:sz="0" w:space="0" w:color="auto"/>
        <w:right w:val="none" w:sz="0" w:space="0" w:color="auto"/>
      </w:divBdr>
    </w:div>
    <w:div w:id="20389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intmar.2018.04.002" TargetMode="External"/><Relationship Id="rId18" Type="http://schemas.openxmlformats.org/officeDocument/2006/relationships/hyperlink" Target="https://doi.org/10.1509%2Fjmkg.65.2.81.18255" TargetMode="External"/><Relationship Id="rId26" Type="http://schemas.openxmlformats.org/officeDocument/2006/relationships/hyperlink" Target="https://doi.org/10.1108/JSTP-02-2016-0020" TargetMode="External"/><Relationship Id="rId39" Type="http://schemas.openxmlformats.org/officeDocument/2006/relationships/hyperlink" Target="https://doi.org/10.1016/j.knosys.2012.09.002" TargetMode="External"/><Relationship Id="rId21" Type="http://schemas.openxmlformats.org/officeDocument/2006/relationships/hyperlink" Target="https://doi.org/10.1080/0267257X.2015.1130738" TargetMode="External"/><Relationship Id="rId34" Type="http://schemas.openxmlformats.org/officeDocument/2006/relationships/hyperlink" Target="https://doi.org/10.1002/(SICI)1097-0266(199902)20:2%3C195::AID-SMJ13%3E3.0.CO;2-7" TargetMode="External"/><Relationship Id="rId42" Type="http://schemas.openxmlformats.org/officeDocument/2006/relationships/hyperlink" Target="https://doi.org/10.1016/j.chb.2019.106170" TargetMode="External"/><Relationship Id="rId47" Type="http://schemas.openxmlformats.org/officeDocument/2006/relationships/hyperlink" Target="https://doi.org/10.1080/13527266.2021.1931942" TargetMode="External"/><Relationship Id="rId50" Type="http://schemas.openxmlformats.org/officeDocument/2006/relationships/hyperlink" Target="https://doi.org/10.1177/10946705221096192" TargetMode="External"/><Relationship Id="rId55"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86/208856" TargetMode="External"/><Relationship Id="rId29" Type="http://schemas.openxmlformats.org/officeDocument/2006/relationships/hyperlink" Target="https://doi.org/10.1108/JPBM-06-2013-0332" TargetMode="External"/><Relationship Id="rId11" Type="http://schemas.openxmlformats.org/officeDocument/2006/relationships/image" Target="media/image1.png"/><Relationship Id="rId24" Type="http://schemas.openxmlformats.org/officeDocument/2006/relationships/hyperlink" Target="https://doi.org/10.1108/EBR-10-2013-0128" TargetMode="External"/><Relationship Id="rId32" Type="http://schemas.openxmlformats.org/officeDocument/2006/relationships/hyperlink" Target="https://doi.org/10.1108/09564231011039286" TargetMode="External"/><Relationship Id="rId37" Type="http://schemas.openxmlformats.org/officeDocument/2006/relationships/hyperlink" Target="https://doi.org/10.1177%2F1094670517714331" TargetMode="External"/><Relationship Id="rId40" Type="http://schemas.openxmlformats.org/officeDocument/2006/relationships/hyperlink" Target="https://link.gale.com/apps/doc/A663936996/HRCA?u=anon~4bf42921&amp;sid=googleScholar&amp;xid=2fbc4035" TargetMode="External"/><Relationship Id="rId45" Type="http://schemas.openxmlformats.org/officeDocument/2006/relationships/hyperlink" Target="https://doi.org/10.1287/isre.2016.0683" TargetMode="External"/><Relationship Id="rId53"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s://doi.org/10.1108/OIR-01-2011-02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16/j.adolescence.2012.12.001" TargetMode="External"/><Relationship Id="rId22" Type="http://schemas.openxmlformats.org/officeDocument/2006/relationships/hyperlink" Target="https://doi.org/10.1016/j.ijinfomgt.2020.102168" TargetMode="External"/><Relationship Id="rId27" Type="http://schemas.openxmlformats.org/officeDocument/2006/relationships/hyperlink" Target="https://doi.org/10.1007/s11747-014-0403-8" TargetMode="External"/><Relationship Id="rId30" Type="http://schemas.openxmlformats.org/officeDocument/2006/relationships/hyperlink" Target="https://doi.org/10.1057/s41262-017-0079-8" TargetMode="External"/><Relationship Id="rId35" Type="http://schemas.openxmlformats.org/officeDocument/2006/relationships/hyperlink" Target="https://doi.org/10.1108/00251741111151217" TargetMode="External"/><Relationship Id="rId43" Type="http://schemas.openxmlformats.org/officeDocument/2006/relationships/hyperlink" Target="https://doi.org/10.1016/j.jretconser.2018.09.010" TargetMode="External"/><Relationship Id="rId48" Type="http://schemas.openxmlformats.org/officeDocument/2006/relationships/hyperlink" Target="https://doi.org/10.1177%2F1470593103040785"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doi.org/10.1016/j.jretconser.2019.01.016" TargetMode="External"/><Relationship Id="rId17" Type="http://schemas.openxmlformats.org/officeDocument/2006/relationships/hyperlink" Target="https://doi.org/10.1080/13527260701535236" TargetMode="External"/><Relationship Id="rId25" Type="http://schemas.openxmlformats.org/officeDocument/2006/relationships/hyperlink" Target="https://doi.org/10.2753/MTP1069-6679190202" TargetMode="External"/><Relationship Id="rId33" Type="http://schemas.openxmlformats.org/officeDocument/2006/relationships/hyperlink" Target="https://doi.org/10.1007/s10551-020-04698-9" TargetMode="External"/><Relationship Id="rId38" Type="http://schemas.openxmlformats.org/officeDocument/2006/relationships/hyperlink" Target="https://doi.org/10.1016/j.ijhm.2004.12.008" TargetMode="External"/><Relationship Id="rId46" Type="http://schemas.openxmlformats.org/officeDocument/2006/relationships/hyperlink" Target="https://doi.org/10.1108/EJM-08-2013-0409" TargetMode="External"/><Relationship Id="rId20" Type="http://schemas.openxmlformats.org/officeDocument/2006/relationships/hyperlink" Target="https://doi.org/10.1108/08876040910995257" TargetMode="External"/><Relationship Id="rId41" Type="http://schemas.openxmlformats.org/officeDocument/2006/relationships/hyperlink" Target="https://doi.org/10.1016/0148-2963(94)00049-K"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177%2F0146167203254596" TargetMode="External"/><Relationship Id="rId23" Type="http://schemas.openxmlformats.org/officeDocument/2006/relationships/hyperlink" Target="https://doi.org/10.1177%2F002224378101800104" TargetMode="External"/><Relationship Id="rId28" Type="http://schemas.openxmlformats.org/officeDocument/2006/relationships/hyperlink" Target="https://doi.org/10.1108/S1474-7979(2009)0000020014" TargetMode="External"/><Relationship Id="rId36" Type="http://schemas.openxmlformats.org/officeDocument/2006/relationships/hyperlink" Target="https://www.statista.com/topics/1809/cyber-bullying/" TargetMode="External"/><Relationship Id="rId49" Type="http://schemas.openxmlformats.org/officeDocument/2006/relationships/hyperlink" Target="https://doi.org/10.1016/j.jbusres.2011.03.011"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doi.org/10.1108/09564230810891941" TargetMode="External"/><Relationship Id="rId44" Type="http://schemas.openxmlformats.org/officeDocument/2006/relationships/hyperlink" Target="https://doi.org/10.1016/j.jhtm.2022.02.004" TargetMode="External"/><Relationship Id="rId5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siakirja" ma:contentTypeID="0x010100037BF81C8A1D1547B12D0830A4E2F68D" ma:contentTypeVersion="7" ma:contentTypeDescription="Luo uusi asiakirja." ma:contentTypeScope="" ma:versionID="5e40e97ebab9eea6b62bc5ab74914f25">
  <xsd:schema xmlns:xsd="http://www.w3.org/2001/XMLSchema" xmlns:xs="http://www.w3.org/2001/XMLSchema" xmlns:p="http://schemas.microsoft.com/office/2006/metadata/properties" xmlns:ns3="6e97b83c-3422-4b2a-8344-b05cd374bb92" xmlns:ns4="07d742ff-2160-4197-9a3e-69d7d0f0d25f" targetNamespace="http://schemas.microsoft.com/office/2006/metadata/properties" ma:root="true" ma:fieldsID="cf0b8549b1655da5100bf564d921cbf3" ns3:_="" ns4:_="">
    <xsd:import namespace="6e97b83c-3422-4b2a-8344-b05cd374bb92"/>
    <xsd:import namespace="07d742ff-2160-4197-9a3e-69d7d0f0d25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97b83c-3422-4b2a-8344-b05cd374bb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d742ff-2160-4197-9a3e-69d7d0f0d25f" elementFormDefault="qualified">
    <xsd:import namespace="http://schemas.microsoft.com/office/2006/documentManagement/types"/>
    <xsd:import namespace="http://schemas.microsoft.com/office/infopath/2007/PartnerControls"/>
    <xsd:element name="SharedWithUsers" ma:index="12"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Jakamisen tiedot" ma:internalName="SharedWithDetails" ma:readOnly="true">
      <xsd:simpleType>
        <xsd:restriction base="dms:Note">
          <xsd:maxLength value="255"/>
        </xsd:restriction>
      </xsd:simpleType>
    </xsd:element>
    <xsd:element name="SharingHintHash" ma:index="14" nillable="true" ma:displayName="Jakamisvihjeen hajautu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B84FA6-E53C-4982-B103-85C283F28ABE}">
  <ds:schemaRefs>
    <ds:schemaRef ds:uri="http://schemas.openxmlformats.org/officeDocument/2006/bibliography"/>
  </ds:schemaRefs>
</ds:datastoreItem>
</file>

<file path=customXml/itemProps2.xml><?xml version="1.0" encoding="utf-8"?>
<ds:datastoreItem xmlns:ds="http://schemas.openxmlformats.org/officeDocument/2006/customXml" ds:itemID="{BE2175AC-B143-46AE-9F33-D33A05C833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0D9959-F347-48DD-9AE6-D988CA22CFE0}">
  <ds:schemaRefs>
    <ds:schemaRef ds:uri="http://schemas.microsoft.com/sharepoint/v3/contenttype/forms"/>
  </ds:schemaRefs>
</ds:datastoreItem>
</file>

<file path=customXml/itemProps4.xml><?xml version="1.0" encoding="utf-8"?>
<ds:datastoreItem xmlns:ds="http://schemas.openxmlformats.org/officeDocument/2006/customXml" ds:itemID="{D3FC64CE-9F69-4B00-9B16-05E393E56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97b83c-3422-4b2a-8344-b05cd374bb92"/>
    <ds:schemaRef ds:uri="07d742ff-2160-4197-9a3e-69d7d0f0d2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10</Pages>
  <Words>4777</Words>
  <Characters>38700</Characters>
  <Application>Microsoft Office Word</Application>
  <DocSecurity>0</DocSecurity>
  <Lines>322</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43391</CharactersWithSpaces>
  <SharedDoc>false</SharedDoc>
  <HLinks>
    <vt:vector size="108" baseType="variant">
      <vt:variant>
        <vt:i4>6357033</vt:i4>
      </vt:variant>
      <vt:variant>
        <vt:i4>42</vt:i4>
      </vt:variant>
      <vt:variant>
        <vt:i4>0</vt:i4>
      </vt:variant>
      <vt:variant>
        <vt:i4>5</vt:i4>
      </vt:variant>
      <vt:variant>
        <vt:lpwstr>https://doi.org/10.3390/su13052903</vt:lpwstr>
      </vt:variant>
      <vt:variant>
        <vt:lpwstr/>
      </vt:variant>
      <vt:variant>
        <vt:i4>4653151</vt:i4>
      </vt:variant>
      <vt:variant>
        <vt:i4>39</vt:i4>
      </vt:variant>
      <vt:variant>
        <vt:i4>0</vt:i4>
      </vt:variant>
      <vt:variant>
        <vt:i4>5</vt:i4>
      </vt:variant>
      <vt:variant>
        <vt:lpwstr>https://unfccc.int/process-and-meetings/the-paris-agreement/the-paris-agreement/</vt:lpwstr>
      </vt:variant>
      <vt:variant>
        <vt:lpwstr/>
      </vt:variant>
      <vt:variant>
        <vt:i4>327693</vt:i4>
      </vt:variant>
      <vt:variant>
        <vt:i4>36</vt:i4>
      </vt:variant>
      <vt:variant>
        <vt:i4>0</vt:i4>
      </vt:variant>
      <vt:variant>
        <vt:i4>5</vt:i4>
      </vt:variant>
      <vt:variant>
        <vt:lpwstr>http://www.pama.org.pk/home/</vt:lpwstr>
      </vt:variant>
      <vt:variant>
        <vt:lpwstr/>
      </vt:variant>
      <vt:variant>
        <vt:i4>262159</vt:i4>
      </vt:variant>
      <vt:variant>
        <vt:i4>33</vt:i4>
      </vt:variant>
      <vt:variant>
        <vt:i4>0</vt:i4>
      </vt:variant>
      <vt:variant>
        <vt:i4>5</vt:i4>
      </vt:variant>
      <vt:variant>
        <vt:lpwstr>https://www.edfenergy.com/for-home/energywise/how-do-electric-cars-work/</vt:lpwstr>
      </vt:variant>
      <vt:variant>
        <vt:lpwstr/>
      </vt:variant>
      <vt:variant>
        <vt:i4>3342397</vt:i4>
      </vt:variant>
      <vt:variant>
        <vt:i4>30</vt:i4>
      </vt:variant>
      <vt:variant>
        <vt:i4>0</vt:i4>
      </vt:variant>
      <vt:variant>
        <vt:i4>5</vt:i4>
      </vt:variant>
      <vt:variant>
        <vt:lpwstr>https://unfccc.int/process-and-meetings/conferences/past-conferences/copenhagen-climatechange-conference-december-2009/copenhagen-climate-change-conference-december-2009/</vt:lpwstr>
      </vt:variant>
      <vt:variant>
        <vt:lpwstr/>
      </vt:variant>
      <vt:variant>
        <vt:i4>4128802</vt:i4>
      </vt:variant>
      <vt:variant>
        <vt:i4>27</vt:i4>
      </vt:variant>
      <vt:variant>
        <vt:i4>0</vt:i4>
      </vt:variant>
      <vt:variant>
        <vt:i4>5</vt:i4>
      </vt:variant>
      <vt:variant>
        <vt:lpwstr>http://www.businessinsider.sg/bill-gates-challenges-to-stopping-climate-change-2018-10/</vt:lpwstr>
      </vt:variant>
      <vt:variant>
        <vt:lpwstr/>
      </vt:variant>
      <vt:variant>
        <vt:i4>5111822</vt:i4>
      </vt:variant>
      <vt:variant>
        <vt:i4>24</vt:i4>
      </vt:variant>
      <vt:variant>
        <vt:i4>0</vt:i4>
      </vt:variant>
      <vt:variant>
        <vt:i4>5</vt:i4>
      </vt:variant>
      <vt:variant>
        <vt:lpwstr>https://unfccc.int/process/conferences/past-conferences/bonn-climate-change-conference-may-2017/conference-overview/</vt:lpwstr>
      </vt:variant>
      <vt:variant>
        <vt:lpwstr/>
      </vt:variant>
      <vt:variant>
        <vt:i4>2424952</vt:i4>
      </vt:variant>
      <vt:variant>
        <vt:i4>21</vt:i4>
      </vt:variant>
      <vt:variant>
        <vt:i4>0</vt:i4>
      </vt:variant>
      <vt:variant>
        <vt:i4>5</vt:i4>
      </vt:variant>
      <vt:variant>
        <vt:lpwstr>\\fileservices.ad.jyu.fi\homes\aiahshai\AppData\Maqsood Bhutto\Desktop\final thesis\final thesis phase\final thesis - 19 june 2019.docx</vt:lpwstr>
      </vt:variant>
      <vt:variant>
        <vt:lpwstr>_ENREF_48</vt:lpwstr>
      </vt:variant>
      <vt:variant>
        <vt:i4>2228344</vt:i4>
      </vt:variant>
      <vt:variant>
        <vt:i4>18</vt:i4>
      </vt:variant>
      <vt:variant>
        <vt:i4>0</vt:i4>
      </vt:variant>
      <vt:variant>
        <vt:i4>5</vt:i4>
      </vt:variant>
      <vt:variant>
        <vt:lpwstr>\\fileservices.ad.jyu.fi\homes\aiahshai\AppData\Maqsood Bhutto\Desktop\final thesis\final thesis phase\final thesis - 19 june 2019.docx</vt:lpwstr>
      </vt:variant>
      <vt:variant>
        <vt:lpwstr>_ENREF_39</vt:lpwstr>
      </vt:variant>
      <vt:variant>
        <vt:i4>2424952</vt:i4>
      </vt:variant>
      <vt:variant>
        <vt:i4>15</vt:i4>
      </vt:variant>
      <vt:variant>
        <vt:i4>0</vt:i4>
      </vt:variant>
      <vt:variant>
        <vt:i4>5</vt:i4>
      </vt:variant>
      <vt:variant>
        <vt:lpwstr>\\fileservices.ad.jyu.fi\homes\aiahshai\AppData\Maqsood Bhutto\Desktop\final thesis\final thesis phase\final thesis - 19 june 2019.docx</vt:lpwstr>
      </vt:variant>
      <vt:variant>
        <vt:lpwstr>_ENREF_45</vt:lpwstr>
      </vt:variant>
      <vt:variant>
        <vt:i4>2687096</vt:i4>
      </vt:variant>
      <vt:variant>
        <vt:i4>12</vt:i4>
      </vt:variant>
      <vt:variant>
        <vt:i4>0</vt:i4>
      </vt:variant>
      <vt:variant>
        <vt:i4>5</vt:i4>
      </vt:variant>
      <vt:variant>
        <vt:lpwstr>\\fileservices.ad.jyu.fi\homes\aiahshai\AppData\Maqsood Bhutto\Desktop\final thesis\final thesis phase\final thesis - 19 june 2019.docx</vt:lpwstr>
      </vt:variant>
      <vt:variant>
        <vt:lpwstr>_ENREF_84</vt:lpwstr>
      </vt:variant>
      <vt:variant>
        <vt:i4>2097272</vt:i4>
      </vt:variant>
      <vt:variant>
        <vt:i4>9</vt:i4>
      </vt:variant>
      <vt:variant>
        <vt:i4>0</vt:i4>
      </vt:variant>
      <vt:variant>
        <vt:i4>5</vt:i4>
      </vt:variant>
      <vt:variant>
        <vt:lpwstr>\\fileservices.ad.jyu.fi\homes\aiahshai\AppData\Maqsood Bhutto\Desktop\final thesis\final thesis phase\final thesis - 19 june 2019.docx</vt:lpwstr>
      </vt:variant>
      <vt:variant>
        <vt:lpwstr>_ENREF_14</vt:lpwstr>
      </vt:variant>
      <vt:variant>
        <vt:i4>852006</vt:i4>
      </vt:variant>
      <vt:variant>
        <vt:i4>6</vt:i4>
      </vt:variant>
      <vt:variant>
        <vt:i4>0</vt:i4>
      </vt:variant>
      <vt:variant>
        <vt:i4>5</vt:i4>
      </vt:variant>
      <vt:variant>
        <vt:lpwstr>mailto:ravishankar.sharma@zu.ac.ae</vt:lpwstr>
      </vt:variant>
      <vt:variant>
        <vt:lpwstr/>
      </vt:variant>
      <vt:variant>
        <vt:i4>7667794</vt:i4>
      </vt:variant>
      <vt:variant>
        <vt:i4>3</vt:i4>
      </vt:variant>
      <vt:variant>
        <vt:i4>0</vt:i4>
      </vt:variant>
      <vt:variant>
        <vt:i4>5</vt:i4>
      </vt:variant>
      <vt:variant>
        <vt:lpwstr>mailto:aijaz.a.shaikh@jyu.fi</vt:lpwstr>
      </vt:variant>
      <vt:variant>
        <vt:lpwstr/>
      </vt:variant>
      <vt:variant>
        <vt:i4>5242922</vt:i4>
      </vt:variant>
      <vt:variant>
        <vt:i4>0</vt:i4>
      </vt:variant>
      <vt:variant>
        <vt:i4>0</vt:i4>
      </vt:variant>
      <vt:variant>
        <vt:i4>5</vt:i4>
      </vt:variant>
      <vt:variant>
        <vt:lpwstr>mailto:maqsood.h.bhutto@student.jyu.fi</vt:lpwstr>
      </vt:variant>
      <vt:variant>
        <vt:lpwstr/>
      </vt:variant>
      <vt:variant>
        <vt:i4>1179728</vt:i4>
      </vt:variant>
      <vt:variant>
        <vt:i4>9</vt:i4>
      </vt:variant>
      <vt:variant>
        <vt:i4>0</vt:i4>
      </vt:variant>
      <vt:variant>
        <vt:i4>5</vt:i4>
      </vt:variant>
      <vt:variant>
        <vt:lpwstr>https://en.hhu.edu.cn/commercial/main.psp</vt:lpwstr>
      </vt:variant>
      <vt:variant>
        <vt:lpwstr/>
      </vt:variant>
      <vt:variant>
        <vt:i4>1179728</vt:i4>
      </vt:variant>
      <vt:variant>
        <vt:i4>6</vt:i4>
      </vt:variant>
      <vt:variant>
        <vt:i4>0</vt:i4>
      </vt:variant>
      <vt:variant>
        <vt:i4>5</vt:i4>
      </vt:variant>
      <vt:variant>
        <vt:lpwstr>https://en.hhu.edu.cn/commercial/main.psp</vt:lpwstr>
      </vt:variant>
      <vt:variant>
        <vt:lpwstr/>
      </vt:variant>
      <vt:variant>
        <vt:i4>1179728</vt:i4>
      </vt:variant>
      <vt:variant>
        <vt:i4>0</vt:i4>
      </vt:variant>
      <vt:variant>
        <vt:i4>0</vt:i4>
      </vt:variant>
      <vt:variant>
        <vt:i4>5</vt:i4>
      </vt:variant>
      <vt:variant>
        <vt:lpwstr>https://en.hhu.edu.cn/commercial/main.psp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cp:lastModifiedBy>Bhutto, Maqsood</cp:lastModifiedBy>
  <cp:revision>74</cp:revision>
  <cp:lastPrinted>2022-08-24T11:50:00Z</cp:lastPrinted>
  <dcterms:created xsi:type="dcterms:W3CDTF">2022-08-24T09:04:00Z</dcterms:created>
  <dcterms:modified xsi:type="dcterms:W3CDTF">2022-10-13T13:33:00Z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0x010100037BF81C8A1D1547B12D0830A4E2F68D</vt:lpwstr>
  </property>
</Properties>
</file>