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AC9FF" w14:textId="2297BEC6" w:rsidR="007C6708" w:rsidRDefault="005416A5" w:rsidP="007C6708">
      <w:pPr>
        <w:spacing w:after="0" w:line="240" w:lineRule="auto"/>
        <w:jc w:val="both"/>
        <w:rPr>
          <w:rFonts w:asciiTheme="majorBidi" w:hAnsiTheme="majorBidi" w:cstheme="majorBidi"/>
          <w:b/>
          <w:sz w:val="28"/>
          <w:szCs w:val="28"/>
        </w:rPr>
      </w:pPr>
      <w:bookmarkStart w:id="0" w:name="_Toc104428869"/>
      <w:r w:rsidRPr="007C6708">
        <w:rPr>
          <w:rFonts w:asciiTheme="majorBidi" w:hAnsiTheme="majorBidi" w:cstheme="majorBidi"/>
          <w:noProof/>
          <w:sz w:val="24"/>
          <w:szCs w:val="24"/>
        </w:rPr>
        <mc:AlternateContent>
          <mc:Choice Requires="wps">
            <w:drawing>
              <wp:anchor distT="45720" distB="45720" distL="114300" distR="114300" simplePos="0" relativeHeight="251665408" behindDoc="1" locked="0" layoutInCell="1" allowOverlap="1" wp14:anchorId="2C62D801" wp14:editId="75055764">
                <wp:simplePos x="0" y="0"/>
                <wp:positionH relativeFrom="margin">
                  <wp:posOffset>-124823</wp:posOffset>
                </wp:positionH>
                <wp:positionV relativeFrom="paragraph">
                  <wp:posOffset>-649061</wp:posOffset>
                </wp:positionV>
                <wp:extent cx="3314700" cy="140462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1404620"/>
                        </a:xfrm>
                        <a:prstGeom prst="rect">
                          <a:avLst/>
                        </a:prstGeom>
                        <a:solidFill>
                          <a:srgbClr val="FFFFFF"/>
                        </a:solidFill>
                        <a:ln w="9525">
                          <a:noFill/>
                          <a:miter lim="800000"/>
                          <a:headEnd/>
                          <a:tailEnd/>
                        </a:ln>
                      </wps:spPr>
                      <wps:txbx>
                        <w:txbxContent>
                          <w:p w14:paraId="56C78DC6" w14:textId="54CD9BC3" w:rsidR="007C6708" w:rsidRPr="00E10177" w:rsidRDefault="007C6708" w:rsidP="00E10177">
                            <w:pPr>
                              <w:spacing w:after="0" w:line="240" w:lineRule="auto"/>
                              <w:jc w:val="both"/>
                              <w:rPr>
                                <w:rFonts w:asciiTheme="majorBidi" w:hAnsiTheme="majorBidi" w:cstheme="majorBidi"/>
                                <w:sz w:val="20"/>
                                <w:lang w:val="en-US" w:eastAsia="zh-TW"/>
                              </w:rPr>
                            </w:pPr>
                            <w:r w:rsidRPr="00637F58">
                              <w:rPr>
                                <w:rFonts w:asciiTheme="majorBidi" w:hAnsiTheme="majorBidi" w:cstheme="majorBidi"/>
                                <w:sz w:val="20"/>
                                <w:lang w:val="en-US" w:eastAsia="zh-TW"/>
                              </w:rPr>
                              <w:t xml:space="preserve">Zahid, A., Sharma, R., Wingreen, S. &amp; Inthiran, A. (2022). </w:t>
                            </w:r>
                            <w:r w:rsidR="00E10177" w:rsidRPr="00E10177">
                              <w:rPr>
                                <w:rFonts w:asciiTheme="majorBidi" w:hAnsiTheme="majorBidi" w:cstheme="majorBidi"/>
                                <w:sz w:val="20"/>
                                <w:lang w:val="en-US" w:eastAsia="zh-TW"/>
                              </w:rPr>
                              <w:t>Soft Systems Modelling of Design Artefacts for</w:t>
                            </w:r>
                            <w:r w:rsidR="00E10177">
                              <w:rPr>
                                <w:rFonts w:asciiTheme="majorBidi" w:hAnsiTheme="majorBidi" w:cstheme="majorBidi"/>
                                <w:sz w:val="20"/>
                                <w:lang w:val="en-US" w:eastAsia="zh-TW"/>
                              </w:rPr>
                              <w:t xml:space="preserve"> </w:t>
                            </w:r>
                            <w:r w:rsidR="00E10177" w:rsidRPr="00E10177">
                              <w:rPr>
                                <w:rFonts w:asciiTheme="majorBidi" w:hAnsiTheme="majorBidi" w:cstheme="majorBidi"/>
                                <w:sz w:val="20"/>
                                <w:lang w:val="en-US" w:eastAsia="zh-TW"/>
                              </w:rPr>
                              <w:t>Blockchain-enabled Precision Healthcare as a Service</w:t>
                            </w:r>
                            <w:r w:rsidRPr="00637F58">
                              <w:rPr>
                                <w:rFonts w:asciiTheme="majorBidi" w:hAnsiTheme="majorBidi" w:cstheme="majorBidi"/>
                                <w:sz w:val="20"/>
                                <w:lang w:val="en-US" w:eastAsia="zh-TW"/>
                              </w:rPr>
                              <w:t xml:space="preserve">. In </w:t>
                            </w:r>
                            <w:r w:rsidRPr="00637F58">
                              <w:rPr>
                                <w:rFonts w:asciiTheme="majorBidi" w:hAnsiTheme="majorBidi" w:cstheme="majorBidi"/>
                                <w:i/>
                                <w:sz w:val="20"/>
                                <w:lang w:val="en-US" w:eastAsia="zh-TW"/>
                              </w:rPr>
                              <w:t xml:space="preserve">Proceedings of The </w:t>
                            </w:r>
                            <w:r w:rsidRPr="00637F58">
                              <w:rPr>
                                <w:rFonts w:asciiTheme="majorBidi" w:hAnsiTheme="majorBidi" w:cstheme="majorBidi"/>
                                <w:i/>
                                <w:sz w:val="20"/>
                              </w:rPr>
                              <w:t>International Conference on Electronic Business</w:t>
                            </w:r>
                            <w:r w:rsidRPr="00637F58">
                              <w:rPr>
                                <w:rFonts w:asciiTheme="majorBidi" w:hAnsiTheme="majorBidi" w:cstheme="majorBidi"/>
                                <w:i/>
                                <w:sz w:val="20"/>
                                <w:lang w:val="en-US"/>
                              </w:rPr>
                              <w:t xml:space="preserve">, Volume 22 </w:t>
                            </w:r>
                            <w:r w:rsidRPr="00637F58">
                              <w:rPr>
                                <w:rFonts w:asciiTheme="majorBidi" w:hAnsiTheme="majorBidi" w:cstheme="majorBidi"/>
                                <w:sz w:val="20"/>
                                <w:lang w:val="en-US" w:eastAsia="zh-TW"/>
                              </w:rPr>
                              <w:t>(pp. xxx-xxx). ICEB’22,</w:t>
                            </w:r>
                            <w:r w:rsidRPr="00637F58">
                              <w:rPr>
                                <w:rFonts w:asciiTheme="majorBidi" w:hAnsiTheme="majorBidi" w:cstheme="majorBidi"/>
                                <w:i/>
                                <w:sz w:val="20"/>
                                <w:lang w:val="en-US"/>
                              </w:rPr>
                              <w:t xml:space="preserve"> </w:t>
                            </w:r>
                            <w:r w:rsidRPr="00637F58">
                              <w:rPr>
                                <w:rFonts w:asciiTheme="majorBidi" w:hAnsiTheme="majorBidi" w:cstheme="majorBidi"/>
                                <w:sz w:val="20"/>
                                <w:lang w:val="en-US"/>
                              </w:rPr>
                              <w:t>Bangkok, Thailand</w:t>
                            </w:r>
                            <w:r w:rsidRPr="00637F58">
                              <w:rPr>
                                <w:rFonts w:asciiTheme="majorBidi" w:hAnsiTheme="majorBidi" w:cstheme="majorBidi"/>
                                <w:sz w:val="20"/>
                              </w:rPr>
                              <w:t xml:space="preserve">, </w:t>
                            </w:r>
                            <w:r w:rsidRPr="00637F58">
                              <w:rPr>
                                <w:rFonts w:asciiTheme="majorBidi" w:hAnsiTheme="majorBidi" w:cstheme="majorBidi"/>
                                <w:sz w:val="20"/>
                                <w:lang w:val="en-US"/>
                              </w:rPr>
                              <w:t>October 13-17, 2022</w:t>
                            </w:r>
                            <w:r w:rsidRPr="00637F58">
                              <w:rPr>
                                <w:rFonts w:asciiTheme="majorBidi" w:hAnsiTheme="majorBidi" w:cstheme="majorBidi"/>
                                <w:sz w:val="20"/>
                                <w:lang w:val="en-US" w:eastAsia="zh-TW"/>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62D801" id="_x0000_t202" coordsize="21600,21600" o:spt="202" path="m,l,21600r21600,l21600,xe">
                <v:stroke joinstyle="miter"/>
                <v:path gradientshapeok="t" o:connecttype="rect"/>
              </v:shapetype>
              <v:shape id="Text Box 2" o:spid="_x0000_s1026" type="#_x0000_t202" style="position:absolute;left:0;text-align:left;margin-left:-9.85pt;margin-top:-51.1pt;width:261pt;height:110.6pt;z-index:-25165107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" stroked="f">
                <v:textbox style="mso-fit-shape-to-text:t">
                  <w:txbxContent>
                    <w:p w14:paraId="56C78DC6" w14:textId="54CD9BC3" w:rsidR="007C6708" w:rsidRPr="00E10177" w:rsidRDefault="007C6708" w:rsidP="00E10177">
                      <w:pPr>
                        <w:spacing w:after="0" w:line="240" w:lineRule="auto"/>
                        <w:jc w:val="both"/>
                        <w:rPr>
                          <w:rFonts w:asciiTheme="majorBidi" w:hAnsiTheme="majorBidi" w:cstheme="majorBidi"/>
                          <w:sz w:val="20"/>
                          <w:lang w:val="en-US" w:eastAsia="zh-TW"/>
                        </w:rPr>
                      </w:pPr>
                      <w:r w:rsidRPr="00637F58">
                        <w:rPr>
                          <w:rFonts w:asciiTheme="majorBidi" w:hAnsiTheme="majorBidi" w:cstheme="majorBidi"/>
                          <w:sz w:val="20"/>
                          <w:lang w:val="en-US" w:eastAsia="zh-TW"/>
                        </w:rPr>
                        <w:t xml:space="preserve">Zahid, A., Sharma, R., Wingreen, S. &amp; Inthiran, A. (2022). </w:t>
                      </w:r>
                      <w:r w:rsidR="00E10177" w:rsidRPr="00E10177">
                        <w:rPr>
                          <w:rFonts w:asciiTheme="majorBidi" w:hAnsiTheme="majorBidi" w:cstheme="majorBidi"/>
                          <w:sz w:val="20"/>
                          <w:lang w:val="en-US" w:eastAsia="zh-TW"/>
                        </w:rPr>
                        <w:t>Soft Systems Modelling of Design Artefacts for</w:t>
                      </w:r>
                      <w:r w:rsidR="00E10177">
                        <w:rPr>
                          <w:rFonts w:asciiTheme="majorBidi" w:hAnsiTheme="majorBidi" w:cstheme="majorBidi"/>
                          <w:sz w:val="20"/>
                          <w:lang w:val="en-US" w:eastAsia="zh-TW"/>
                        </w:rPr>
                        <w:t xml:space="preserve"> </w:t>
                      </w:r>
                      <w:r w:rsidR="00E10177" w:rsidRPr="00E10177">
                        <w:rPr>
                          <w:rFonts w:asciiTheme="majorBidi" w:hAnsiTheme="majorBidi" w:cstheme="majorBidi"/>
                          <w:sz w:val="20"/>
                          <w:lang w:val="en-US" w:eastAsia="zh-TW"/>
                        </w:rPr>
                        <w:t>Blockchain-enabled Precision Healthcare as a Service</w:t>
                      </w:r>
                      <w:r w:rsidRPr="00637F58">
                        <w:rPr>
                          <w:rFonts w:asciiTheme="majorBidi" w:hAnsiTheme="majorBidi" w:cstheme="majorBidi"/>
                          <w:sz w:val="20"/>
                          <w:lang w:val="en-US" w:eastAsia="zh-TW"/>
                        </w:rPr>
                        <w:t xml:space="preserve">. In </w:t>
                      </w:r>
                      <w:r w:rsidRPr="00637F58">
                        <w:rPr>
                          <w:rFonts w:asciiTheme="majorBidi" w:hAnsiTheme="majorBidi" w:cstheme="majorBidi"/>
                          <w:i/>
                          <w:sz w:val="20"/>
                          <w:lang w:val="en-US" w:eastAsia="zh-TW"/>
                        </w:rPr>
                        <w:t xml:space="preserve">Proceedings of The </w:t>
                      </w:r>
                      <w:r w:rsidRPr="00637F58">
                        <w:rPr>
                          <w:rFonts w:asciiTheme="majorBidi" w:hAnsiTheme="majorBidi" w:cstheme="majorBidi"/>
                          <w:i/>
                          <w:sz w:val="20"/>
                        </w:rPr>
                        <w:t>International Conference on Electronic Business</w:t>
                      </w:r>
                      <w:r w:rsidRPr="00637F58">
                        <w:rPr>
                          <w:rFonts w:asciiTheme="majorBidi" w:hAnsiTheme="majorBidi" w:cstheme="majorBidi"/>
                          <w:i/>
                          <w:sz w:val="20"/>
                          <w:lang w:val="en-US"/>
                        </w:rPr>
                        <w:t xml:space="preserve">, Volume 22 </w:t>
                      </w:r>
                      <w:r w:rsidRPr="00637F58">
                        <w:rPr>
                          <w:rFonts w:asciiTheme="majorBidi" w:hAnsiTheme="majorBidi" w:cstheme="majorBidi"/>
                          <w:sz w:val="20"/>
                          <w:lang w:val="en-US" w:eastAsia="zh-TW"/>
                        </w:rPr>
                        <w:t>(pp. xxx-xxx). ICEB’22,</w:t>
                      </w:r>
                      <w:r w:rsidRPr="00637F58">
                        <w:rPr>
                          <w:rFonts w:asciiTheme="majorBidi" w:hAnsiTheme="majorBidi" w:cstheme="majorBidi"/>
                          <w:i/>
                          <w:sz w:val="20"/>
                          <w:lang w:val="en-US"/>
                        </w:rPr>
                        <w:t xml:space="preserve"> </w:t>
                      </w:r>
                      <w:r w:rsidRPr="00637F58">
                        <w:rPr>
                          <w:rFonts w:asciiTheme="majorBidi" w:hAnsiTheme="majorBidi" w:cstheme="majorBidi"/>
                          <w:sz w:val="20"/>
                          <w:lang w:val="en-US"/>
                        </w:rPr>
                        <w:t>Bangkok, Thailand</w:t>
                      </w:r>
                      <w:r w:rsidRPr="00637F58">
                        <w:rPr>
                          <w:rFonts w:asciiTheme="majorBidi" w:hAnsiTheme="majorBidi" w:cstheme="majorBidi"/>
                          <w:sz w:val="20"/>
                        </w:rPr>
                        <w:t xml:space="preserve">, </w:t>
                      </w:r>
                      <w:r w:rsidRPr="00637F58">
                        <w:rPr>
                          <w:rFonts w:asciiTheme="majorBidi" w:hAnsiTheme="majorBidi" w:cstheme="majorBidi"/>
                          <w:sz w:val="20"/>
                          <w:lang w:val="en-US"/>
                        </w:rPr>
                        <w:t>October 13-17, 2022</w:t>
                      </w:r>
                      <w:r w:rsidRPr="00637F58">
                        <w:rPr>
                          <w:rFonts w:asciiTheme="majorBidi" w:hAnsiTheme="majorBidi" w:cstheme="majorBidi"/>
                          <w:sz w:val="20"/>
                          <w:lang w:val="en-US" w:eastAsia="zh-TW"/>
                        </w:rPr>
                        <w:t>.</w:t>
                      </w:r>
                    </w:p>
                  </w:txbxContent>
                </v:textbox>
                <w10:wrap anchorx="margin"/>
              </v:shape>
            </w:pict>
          </mc:Fallback>
        </mc:AlternateContent>
      </w:r>
    </w:p>
    <w:p w14:paraId="42942A78" w14:textId="1D495D94" w:rsidR="007C6708" w:rsidRPr="00CF3C93" w:rsidRDefault="007C6708" w:rsidP="00637F58">
      <w:pPr>
        <w:spacing w:after="0" w:line="240" w:lineRule="auto"/>
        <w:jc w:val="center"/>
        <w:rPr>
          <w:rFonts w:asciiTheme="majorBidi" w:hAnsiTheme="majorBidi" w:cstheme="majorBidi"/>
          <w:b/>
          <w:sz w:val="20"/>
          <w:szCs w:val="20"/>
        </w:rPr>
      </w:pPr>
    </w:p>
    <w:p w14:paraId="7739E81A" w14:textId="5E6E5CCF" w:rsidR="00F03125" w:rsidRPr="007C6708" w:rsidRDefault="00EA22BE" w:rsidP="00637F58">
      <w:pPr>
        <w:spacing w:after="0" w:line="240" w:lineRule="auto"/>
        <w:jc w:val="center"/>
        <w:rPr>
          <w:rFonts w:asciiTheme="majorBidi" w:hAnsiTheme="majorBidi" w:cstheme="majorBidi"/>
          <w:b/>
          <w:sz w:val="28"/>
          <w:szCs w:val="28"/>
        </w:rPr>
      </w:pPr>
      <w:r w:rsidRPr="007C6708">
        <w:rPr>
          <w:rFonts w:asciiTheme="majorBidi" w:hAnsiTheme="majorBidi" w:cstheme="majorBidi"/>
          <w:b/>
          <w:sz w:val="28"/>
          <w:szCs w:val="28"/>
        </w:rPr>
        <w:t xml:space="preserve">Soft Systems Modelling </w:t>
      </w:r>
      <w:r w:rsidR="00637F58" w:rsidRPr="007C6708">
        <w:rPr>
          <w:rFonts w:asciiTheme="majorBidi" w:hAnsiTheme="majorBidi" w:cstheme="majorBidi"/>
          <w:b/>
          <w:sz w:val="28"/>
          <w:szCs w:val="28"/>
        </w:rPr>
        <w:t xml:space="preserve">of Design Artefacts for </w:t>
      </w:r>
    </w:p>
    <w:p w14:paraId="436C6496" w14:textId="76B28A8E" w:rsidR="00637F58" w:rsidRPr="007C6708" w:rsidRDefault="00637F58" w:rsidP="00637F58">
      <w:pPr>
        <w:spacing w:after="0" w:line="240" w:lineRule="auto"/>
        <w:jc w:val="center"/>
        <w:rPr>
          <w:rFonts w:asciiTheme="majorBidi" w:hAnsiTheme="majorBidi" w:cstheme="majorBidi"/>
          <w:sz w:val="28"/>
          <w:szCs w:val="28"/>
        </w:rPr>
      </w:pPr>
      <w:r w:rsidRPr="007C6708">
        <w:rPr>
          <w:rFonts w:asciiTheme="majorBidi" w:hAnsiTheme="majorBidi" w:cstheme="majorBidi"/>
          <w:b/>
          <w:sz w:val="28"/>
          <w:szCs w:val="28"/>
        </w:rPr>
        <w:t>Blockchain-enabled Precision Healthcare as a Service</w:t>
      </w:r>
    </w:p>
    <w:p w14:paraId="50115165" w14:textId="6EF5167B" w:rsidR="00637F58" w:rsidRPr="00637F58" w:rsidRDefault="00637F58" w:rsidP="00DC50C2">
      <w:pPr>
        <w:pStyle w:val="Heading1"/>
        <w:spacing w:before="0" w:beforeAutospacing="0" w:after="0" w:afterAutospacing="0"/>
        <w:jc w:val="center"/>
        <w:rPr>
          <w:rFonts w:asciiTheme="majorBidi" w:hAnsiTheme="majorBidi" w:cstheme="majorBidi"/>
          <w:sz w:val="24"/>
          <w:szCs w:val="24"/>
          <w:vertAlign w:val="superscript"/>
        </w:rPr>
      </w:pPr>
      <w:r w:rsidRPr="00637F58">
        <w:rPr>
          <w:rFonts w:asciiTheme="majorBidi" w:hAnsiTheme="majorBidi" w:cstheme="majorBidi"/>
          <w:sz w:val="24"/>
          <w:szCs w:val="24"/>
        </w:rPr>
        <w:t>Arnob Zahid</w:t>
      </w:r>
      <w:r w:rsidRPr="00637F58">
        <w:rPr>
          <w:rFonts w:asciiTheme="majorBidi" w:hAnsiTheme="majorBidi" w:cstheme="majorBidi"/>
          <w:sz w:val="24"/>
          <w:szCs w:val="24"/>
          <w:vertAlign w:val="superscript"/>
        </w:rPr>
        <w:t>1</w:t>
      </w:r>
      <w:r>
        <w:rPr>
          <w:rFonts w:asciiTheme="majorBidi" w:hAnsiTheme="majorBidi" w:cstheme="majorBidi"/>
          <w:sz w:val="24"/>
          <w:szCs w:val="24"/>
          <w:vertAlign w:val="superscript"/>
        </w:rPr>
        <w:t>*</w:t>
      </w:r>
    </w:p>
    <w:p w14:paraId="4F0CFCF3" w14:textId="28B36E33" w:rsidR="00637F58" w:rsidRDefault="00637F58" w:rsidP="00DC50C2">
      <w:pPr>
        <w:pStyle w:val="Heading1"/>
        <w:spacing w:before="0" w:beforeAutospacing="0" w:after="0" w:afterAutospacing="0"/>
        <w:jc w:val="center"/>
        <w:rPr>
          <w:rFonts w:asciiTheme="majorBidi" w:hAnsiTheme="majorBidi" w:cstheme="majorBidi"/>
          <w:sz w:val="24"/>
          <w:szCs w:val="24"/>
          <w:vertAlign w:val="superscript"/>
        </w:rPr>
      </w:pPr>
      <w:r w:rsidRPr="00637F58">
        <w:rPr>
          <w:rFonts w:asciiTheme="majorBidi" w:hAnsiTheme="majorBidi" w:cstheme="majorBidi"/>
          <w:sz w:val="24"/>
          <w:szCs w:val="24"/>
        </w:rPr>
        <w:t>Ravishankar Sharma</w:t>
      </w:r>
      <w:r w:rsidRPr="00637F58">
        <w:rPr>
          <w:rFonts w:asciiTheme="majorBidi" w:hAnsiTheme="majorBidi" w:cstheme="majorBidi"/>
          <w:sz w:val="24"/>
          <w:szCs w:val="24"/>
          <w:vertAlign w:val="superscript"/>
        </w:rPr>
        <w:t>2</w:t>
      </w:r>
    </w:p>
    <w:p w14:paraId="06976FBA" w14:textId="2342D310" w:rsidR="00637F58" w:rsidRDefault="00637F58" w:rsidP="00DC50C2">
      <w:pPr>
        <w:pStyle w:val="Heading1"/>
        <w:spacing w:before="0" w:beforeAutospacing="0" w:after="0" w:afterAutospacing="0"/>
        <w:jc w:val="center"/>
        <w:rPr>
          <w:rFonts w:asciiTheme="majorBidi" w:hAnsiTheme="majorBidi" w:cstheme="majorBidi"/>
          <w:sz w:val="24"/>
          <w:szCs w:val="24"/>
          <w:vertAlign w:val="superscript"/>
        </w:rPr>
      </w:pPr>
      <w:r w:rsidRPr="00637F58">
        <w:rPr>
          <w:rFonts w:asciiTheme="majorBidi" w:hAnsiTheme="majorBidi" w:cstheme="majorBidi"/>
          <w:sz w:val="24"/>
          <w:szCs w:val="24"/>
        </w:rPr>
        <w:t>Stephen Wingreen</w:t>
      </w:r>
      <w:r w:rsidRPr="00637F58">
        <w:rPr>
          <w:rFonts w:asciiTheme="majorBidi" w:hAnsiTheme="majorBidi" w:cstheme="majorBidi"/>
          <w:sz w:val="24"/>
          <w:szCs w:val="24"/>
          <w:vertAlign w:val="superscript"/>
        </w:rPr>
        <w:t>3</w:t>
      </w:r>
    </w:p>
    <w:p w14:paraId="19E58736" w14:textId="367F87FC" w:rsidR="00637F58" w:rsidRDefault="00637F58" w:rsidP="00DC50C2">
      <w:pPr>
        <w:pStyle w:val="Heading1"/>
        <w:spacing w:before="0" w:beforeAutospacing="0" w:after="0" w:afterAutospacing="0"/>
        <w:jc w:val="center"/>
        <w:rPr>
          <w:rFonts w:asciiTheme="majorBidi" w:hAnsiTheme="majorBidi" w:cstheme="majorBidi"/>
          <w:sz w:val="24"/>
          <w:szCs w:val="24"/>
        </w:rPr>
      </w:pPr>
      <w:r w:rsidRPr="00637F58">
        <w:rPr>
          <w:rFonts w:asciiTheme="majorBidi" w:hAnsiTheme="majorBidi" w:cstheme="majorBidi"/>
          <w:sz w:val="24"/>
          <w:szCs w:val="24"/>
        </w:rPr>
        <w:t>Anushia Inthiran</w:t>
      </w:r>
      <w:r w:rsidRPr="00637F58">
        <w:rPr>
          <w:rFonts w:asciiTheme="majorBidi" w:hAnsiTheme="majorBidi" w:cstheme="majorBidi"/>
          <w:sz w:val="24"/>
          <w:szCs w:val="24"/>
          <w:vertAlign w:val="superscript"/>
        </w:rPr>
        <w:t>4</w:t>
      </w:r>
    </w:p>
    <w:p w14:paraId="6B2BF97D" w14:textId="5FE96E3C" w:rsidR="00637F58" w:rsidRDefault="00637F58" w:rsidP="00637F58">
      <w:pPr>
        <w:adjustRightInd w:val="0"/>
        <w:snapToGrid w:val="0"/>
        <w:spacing w:after="0" w:line="240" w:lineRule="auto"/>
        <w:jc w:val="both"/>
        <w:rPr>
          <w:sz w:val="20"/>
          <w:szCs w:val="20"/>
        </w:rPr>
      </w:pPr>
      <w:r>
        <w:rPr>
          <w:sz w:val="20"/>
          <w:szCs w:val="20"/>
        </w:rPr>
        <w:t>_____________________________________________</w:t>
      </w:r>
    </w:p>
    <w:p w14:paraId="38071D5D" w14:textId="263C1CDC" w:rsidR="00637F58" w:rsidRPr="00637F58" w:rsidRDefault="00637F58" w:rsidP="00637F58">
      <w:pPr>
        <w:adjustRightInd w:val="0"/>
        <w:snapToGrid w:val="0"/>
        <w:spacing w:after="0" w:line="240" w:lineRule="auto"/>
        <w:jc w:val="both"/>
        <w:rPr>
          <w:rFonts w:asciiTheme="majorBidi" w:hAnsiTheme="majorBidi" w:cstheme="majorBidi"/>
          <w:b/>
          <w:bCs/>
          <w:sz w:val="20"/>
          <w:szCs w:val="20"/>
        </w:rPr>
      </w:pPr>
      <w:r w:rsidRPr="00637F58">
        <w:rPr>
          <w:rFonts w:asciiTheme="majorBidi" w:hAnsiTheme="majorBidi" w:cstheme="majorBidi"/>
          <w:b/>
          <w:bCs/>
          <w:sz w:val="20"/>
          <w:szCs w:val="20"/>
        </w:rPr>
        <w:t>*Corresponding author</w:t>
      </w:r>
    </w:p>
    <w:p w14:paraId="4E2051BF" w14:textId="77777777" w:rsidR="00CF3C93" w:rsidRPr="00637F58" w:rsidRDefault="00CF3C93" w:rsidP="004A6B0C">
      <w:pPr>
        <w:adjustRightInd w:val="0"/>
        <w:snapToGrid w:val="0"/>
        <w:spacing w:after="0" w:line="240" w:lineRule="auto"/>
        <w:jc w:val="both"/>
        <w:rPr>
          <w:rFonts w:asciiTheme="majorBidi" w:hAnsiTheme="majorBidi" w:cstheme="majorBidi"/>
          <w:sz w:val="20"/>
          <w:szCs w:val="20"/>
        </w:rPr>
      </w:pPr>
      <w:r w:rsidRPr="00637F58">
        <w:rPr>
          <w:rFonts w:asciiTheme="majorBidi" w:hAnsiTheme="majorBidi" w:cstheme="majorBidi"/>
          <w:sz w:val="20"/>
          <w:szCs w:val="20"/>
          <w:vertAlign w:val="superscript"/>
        </w:rPr>
        <w:t>1</w:t>
      </w:r>
      <w:r>
        <w:rPr>
          <w:rFonts w:asciiTheme="majorBidi" w:hAnsiTheme="majorBidi" w:cstheme="majorBidi"/>
          <w:sz w:val="20"/>
          <w:szCs w:val="20"/>
        </w:rPr>
        <w:t xml:space="preserve"> </w:t>
      </w:r>
      <w:r w:rsidRPr="00637F58">
        <w:rPr>
          <w:rFonts w:asciiTheme="majorBidi" w:hAnsiTheme="majorBidi" w:cstheme="majorBidi"/>
          <w:sz w:val="20"/>
          <w:szCs w:val="20"/>
        </w:rPr>
        <w:t xml:space="preserve">Department of Accounting and Information Systems, College of Business and Law, University of Canterbury, Christchurch, New Zealand, </w:t>
      </w:r>
      <w:r>
        <w:rPr>
          <w:rFonts w:asciiTheme="majorBidi" w:hAnsiTheme="majorBidi" w:cstheme="majorBidi"/>
          <w:sz w:val="20"/>
          <w:szCs w:val="20"/>
        </w:rPr>
        <w:t xml:space="preserve">Doctoral Candidate, </w:t>
      </w:r>
      <w:r w:rsidRPr="00637F58">
        <w:rPr>
          <w:rFonts w:asciiTheme="majorBidi" w:hAnsiTheme="majorBidi" w:cstheme="majorBidi"/>
          <w:sz w:val="20"/>
          <w:szCs w:val="20"/>
        </w:rPr>
        <w:t>arnob07@yahoo.com</w:t>
      </w:r>
    </w:p>
    <w:p w14:paraId="48ECDF1B" w14:textId="77777777" w:rsidR="00CF3C93" w:rsidRPr="00637F58" w:rsidRDefault="00CF3C93" w:rsidP="00F4729B">
      <w:pPr>
        <w:adjustRightInd w:val="0"/>
        <w:snapToGrid w:val="0"/>
        <w:spacing w:after="0" w:line="240" w:lineRule="auto"/>
        <w:rPr>
          <w:rFonts w:asciiTheme="majorBidi" w:hAnsiTheme="majorBidi" w:cstheme="majorBidi"/>
          <w:sz w:val="20"/>
          <w:szCs w:val="20"/>
        </w:rPr>
      </w:pPr>
      <w:r w:rsidRPr="00637F58">
        <w:rPr>
          <w:rFonts w:asciiTheme="majorBidi" w:hAnsiTheme="majorBidi" w:cstheme="majorBidi"/>
          <w:sz w:val="20"/>
          <w:szCs w:val="20"/>
          <w:vertAlign w:val="superscript"/>
        </w:rPr>
        <w:t>2</w:t>
      </w:r>
      <w:r w:rsidRPr="00C06EDC">
        <w:rPr>
          <w:rFonts w:asciiTheme="majorBidi" w:hAnsiTheme="majorBidi" w:cstheme="majorBidi"/>
          <w:sz w:val="20"/>
          <w:szCs w:val="20"/>
        </w:rPr>
        <w:t xml:space="preserve"> </w:t>
      </w:r>
      <w:r w:rsidRPr="00637F58">
        <w:rPr>
          <w:rFonts w:asciiTheme="majorBidi" w:hAnsiTheme="majorBidi" w:cstheme="majorBidi"/>
          <w:sz w:val="20"/>
          <w:szCs w:val="20"/>
        </w:rPr>
        <w:t>College of Technological Innovation, Zayed University, Abu Dhabi, United Arab Emirates,</w:t>
      </w:r>
      <w:r>
        <w:rPr>
          <w:rFonts w:asciiTheme="majorBidi" w:hAnsiTheme="majorBidi" w:cstheme="majorBidi"/>
          <w:sz w:val="20"/>
          <w:szCs w:val="20"/>
        </w:rPr>
        <w:t xml:space="preserve"> Professor,</w:t>
      </w:r>
      <w:r w:rsidRPr="00637F58">
        <w:rPr>
          <w:rFonts w:asciiTheme="majorBidi" w:hAnsiTheme="majorBidi" w:cstheme="majorBidi"/>
          <w:sz w:val="20"/>
          <w:szCs w:val="20"/>
        </w:rPr>
        <w:t xml:space="preserve"> rs.sharma.sg@gmail.com</w:t>
      </w:r>
    </w:p>
    <w:p w14:paraId="4237FD07" w14:textId="77777777" w:rsidR="00CF3C93" w:rsidRDefault="00CF3C93" w:rsidP="004A6B0C">
      <w:pPr>
        <w:adjustRightInd w:val="0"/>
        <w:snapToGrid w:val="0"/>
        <w:spacing w:after="0" w:line="240" w:lineRule="auto"/>
        <w:jc w:val="both"/>
        <w:rPr>
          <w:rFonts w:asciiTheme="majorBidi" w:hAnsiTheme="majorBidi" w:cstheme="majorBidi"/>
          <w:sz w:val="20"/>
          <w:szCs w:val="20"/>
        </w:rPr>
      </w:pPr>
      <w:r w:rsidRPr="00637F58">
        <w:rPr>
          <w:rFonts w:asciiTheme="majorBidi" w:hAnsiTheme="majorBidi" w:cstheme="majorBidi"/>
          <w:sz w:val="20"/>
          <w:szCs w:val="20"/>
          <w:vertAlign w:val="superscript"/>
        </w:rPr>
        <w:t>3</w:t>
      </w:r>
      <w:r w:rsidRPr="00637F58">
        <w:rPr>
          <w:rFonts w:asciiTheme="majorBidi" w:hAnsiTheme="majorBidi" w:cstheme="majorBidi"/>
          <w:sz w:val="20"/>
          <w:szCs w:val="20"/>
        </w:rPr>
        <w:t xml:space="preserve"> Department of Accounting and Information Systems, College of Business and Law, University of Canterbury, Christchurch, New Zealand,</w:t>
      </w:r>
      <w:r>
        <w:rPr>
          <w:rFonts w:asciiTheme="majorBidi" w:hAnsiTheme="majorBidi" w:cstheme="majorBidi"/>
          <w:sz w:val="20"/>
          <w:szCs w:val="20"/>
        </w:rPr>
        <w:t xml:space="preserve"> Associate Professor,</w:t>
      </w:r>
      <w:r w:rsidRPr="00637F58">
        <w:rPr>
          <w:rFonts w:asciiTheme="majorBidi" w:hAnsiTheme="majorBidi" w:cstheme="majorBidi"/>
          <w:sz w:val="20"/>
          <w:szCs w:val="20"/>
        </w:rPr>
        <w:t xml:space="preserve"> stephen.wingreen@canterbury.ac.nz</w:t>
      </w:r>
    </w:p>
    <w:p w14:paraId="78F2D6CC" w14:textId="77777777" w:rsidR="00CF3C93" w:rsidRPr="00637F58" w:rsidRDefault="00CF3C93" w:rsidP="004A6B0C">
      <w:pPr>
        <w:adjustRightInd w:val="0"/>
        <w:snapToGrid w:val="0"/>
        <w:spacing w:after="0" w:line="240" w:lineRule="auto"/>
        <w:jc w:val="both"/>
        <w:rPr>
          <w:rFonts w:asciiTheme="majorBidi" w:hAnsiTheme="majorBidi" w:cstheme="majorBidi"/>
          <w:sz w:val="20"/>
          <w:szCs w:val="20"/>
        </w:rPr>
      </w:pPr>
      <w:r w:rsidRPr="00637F58">
        <w:rPr>
          <w:rFonts w:asciiTheme="majorBidi" w:hAnsiTheme="majorBidi" w:cstheme="majorBidi"/>
          <w:sz w:val="20"/>
          <w:szCs w:val="20"/>
          <w:vertAlign w:val="superscript"/>
        </w:rPr>
        <w:t>4</w:t>
      </w:r>
      <w:r>
        <w:rPr>
          <w:rFonts w:asciiTheme="majorBidi" w:hAnsiTheme="majorBidi" w:cstheme="majorBidi"/>
          <w:sz w:val="20"/>
          <w:szCs w:val="20"/>
          <w:vertAlign w:val="superscript"/>
        </w:rPr>
        <w:t xml:space="preserve"> </w:t>
      </w:r>
      <w:r w:rsidRPr="00637F58">
        <w:rPr>
          <w:rFonts w:asciiTheme="majorBidi" w:hAnsiTheme="majorBidi" w:cstheme="majorBidi"/>
          <w:sz w:val="20"/>
          <w:szCs w:val="20"/>
        </w:rPr>
        <w:t>Department of Accounting and Information Systems, College of Business and Law, University of Canterbury, Christchurch, New Zealand,</w:t>
      </w:r>
      <w:r>
        <w:rPr>
          <w:rFonts w:asciiTheme="majorBidi" w:hAnsiTheme="majorBidi" w:cstheme="majorBidi"/>
          <w:sz w:val="20"/>
          <w:szCs w:val="20"/>
        </w:rPr>
        <w:t xml:space="preserve"> Senior Lecturer, </w:t>
      </w:r>
      <w:r w:rsidRPr="00637F58">
        <w:rPr>
          <w:rFonts w:asciiTheme="majorBidi" w:hAnsiTheme="majorBidi" w:cstheme="majorBidi"/>
          <w:sz w:val="20"/>
          <w:szCs w:val="20"/>
        </w:rPr>
        <w:t>anushia.inthiran@canterbury.ac.nz</w:t>
      </w:r>
    </w:p>
    <w:p w14:paraId="252D88DB" w14:textId="77777777" w:rsidR="00637F58" w:rsidRPr="00142517" w:rsidRDefault="00637F58" w:rsidP="00DC50C2">
      <w:pPr>
        <w:pStyle w:val="Heading1"/>
        <w:spacing w:before="0" w:beforeAutospacing="0" w:after="0" w:afterAutospacing="0"/>
        <w:jc w:val="center"/>
        <w:rPr>
          <w:rFonts w:asciiTheme="majorBidi" w:hAnsiTheme="majorBidi" w:cstheme="majorBidi"/>
          <w:sz w:val="8"/>
          <w:szCs w:val="8"/>
          <w:shd w:val="pct15" w:color="auto" w:fill="FFFFFF"/>
        </w:rPr>
      </w:pPr>
    </w:p>
    <w:p w14:paraId="44343D71" w14:textId="1E55790B" w:rsidR="00DC50C2" w:rsidRPr="00DC50C2" w:rsidRDefault="00DC50C2" w:rsidP="00DC50C2">
      <w:pPr>
        <w:pStyle w:val="Heading1"/>
        <w:spacing w:before="0" w:beforeAutospacing="0" w:after="0" w:afterAutospacing="0"/>
        <w:jc w:val="center"/>
        <w:rPr>
          <w:rFonts w:asciiTheme="majorBidi" w:hAnsiTheme="majorBidi" w:cstheme="majorBidi"/>
          <w:sz w:val="20"/>
          <w:szCs w:val="20"/>
        </w:rPr>
      </w:pPr>
      <w:r w:rsidRPr="00DC50C2">
        <w:rPr>
          <w:rFonts w:asciiTheme="majorBidi" w:hAnsiTheme="majorBidi" w:cstheme="majorBidi"/>
          <w:sz w:val="20"/>
          <w:szCs w:val="20"/>
        </w:rPr>
        <w:t>ABSTRACT</w:t>
      </w:r>
      <w:bookmarkEnd w:id="0"/>
    </w:p>
    <w:p w14:paraId="71900A13" w14:textId="1A5C5EFD" w:rsidR="00FB65FA" w:rsidRPr="007C6708" w:rsidRDefault="00DC50C2" w:rsidP="00D659E6">
      <w:pPr>
        <w:spacing w:line="240" w:lineRule="auto"/>
        <w:jc w:val="both"/>
        <w:rPr>
          <w:rFonts w:asciiTheme="majorBidi" w:hAnsiTheme="majorBidi" w:cstheme="majorBidi"/>
          <w:sz w:val="20"/>
          <w:szCs w:val="20"/>
        </w:rPr>
      </w:pPr>
      <w:r w:rsidRPr="007C6708">
        <w:rPr>
          <w:rFonts w:asciiTheme="majorBidi" w:hAnsiTheme="majorBidi" w:cstheme="majorBidi"/>
          <w:sz w:val="20"/>
          <w:szCs w:val="20"/>
        </w:rPr>
        <w:t xml:space="preserve">Precision Healthcare (PHC) is a </w:t>
      </w:r>
      <w:r w:rsidR="00F03125" w:rsidRPr="007C6708">
        <w:rPr>
          <w:rFonts w:asciiTheme="majorBidi" w:hAnsiTheme="majorBidi" w:cstheme="majorBidi"/>
          <w:sz w:val="20"/>
          <w:szCs w:val="20"/>
        </w:rPr>
        <w:t xml:space="preserve">disruptive innovation </w:t>
      </w:r>
      <w:r w:rsidRPr="007C6708">
        <w:rPr>
          <w:rFonts w:asciiTheme="majorBidi" w:hAnsiTheme="majorBidi" w:cstheme="majorBidi"/>
          <w:sz w:val="20"/>
          <w:szCs w:val="20"/>
        </w:rPr>
        <w:t xml:space="preserve">in digital health that can support </w:t>
      </w:r>
      <w:r w:rsidR="00F03125" w:rsidRPr="007C6708">
        <w:rPr>
          <w:rFonts w:asciiTheme="majorBidi" w:hAnsiTheme="majorBidi" w:cstheme="majorBidi"/>
          <w:sz w:val="20"/>
          <w:szCs w:val="20"/>
        </w:rPr>
        <w:t>mass customisation</w:t>
      </w:r>
      <w:r w:rsidRPr="007C6708">
        <w:rPr>
          <w:rFonts w:asciiTheme="majorBidi" w:hAnsiTheme="majorBidi" w:cstheme="majorBidi"/>
          <w:sz w:val="20"/>
          <w:szCs w:val="20"/>
        </w:rPr>
        <w:t>.</w:t>
      </w:r>
      <w:r w:rsidR="00142517" w:rsidRPr="007C6708">
        <w:rPr>
          <w:rFonts w:asciiTheme="majorBidi" w:hAnsiTheme="majorBidi" w:cstheme="majorBidi"/>
          <w:sz w:val="20"/>
          <w:szCs w:val="20"/>
        </w:rPr>
        <w:t xml:space="preserve"> </w:t>
      </w:r>
      <w:r w:rsidR="00D659E6" w:rsidRPr="007C6708">
        <w:rPr>
          <w:rFonts w:asciiTheme="majorBidi" w:hAnsiTheme="majorBidi" w:cstheme="majorBidi"/>
          <w:sz w:val="20"/>
          <w:szCs w:val="20"/>
        </w:rPr>
        <w:t>However,</w:t>
      </w:r>
      <w:r w:rsidR="00FB65FA" w:rsidRPr="007C6708">
        <w:rPr>
          <w:rFonts w:asciiTheme="majorBidi" w:hAnsiTheme="majorBidi" w:cstheme="majorBidi"/>
          <w:sz w:val="20"/>
          <w:szCs w:val="20"/>
        </w:rPr>
        <w:t xml:space="preserve"> d</w:t>
      </w:r>
      <w:r w:rsidRPr="007C6708">
        <w:rPr>
          <w:rFonts w:asciiTheme="majorBidi" w:hAnsiTheme="majorBidi" w:cstheme="majorBidi"/>
          <w:sz w:val="20"/>
          <w:szCs w:val="20"/>
        </w:rPr>
        <w:t xml:space="preserve">espite </w:t>
      </w:r>
      <w:r w:rsidR="00FB65FA" w:rsidRPr="007C6708">
        <w:rPr>
          <w:rFonts w:asciiTheme="majorBidi" w:hAnsiTheme="majorBidi" w:cstheme="majorBidi"/>
          <w:sz w:val="20"/>
          <w:szCs w:val="20"/>
        </w:rPr>
        <w:t xml:space="preserve">the </w:t>
      </w:r>
      <w:r w:rsidRPr="007C6708">
        <w:rPr>
          <w:rFonts w:asciiTheme="majorBidi" w:hAnsiTheme="majorBidi" w:cstheme="majorBidi"/>
          <w:sz w:val="20"/>
          <w:szCs w:val="20"/>
        </w:rPr>
        <w:t xml:space="preserve">potential, recent studies show that PHC is </w:t>
      </w:r>
      <w:r w:rsidR="00D659E6" w:rsidRPr="007C6708">
        <w:rPr>
          <w:rFonts w:asciiTheme="majorBidi" w:hAnsiTheme="majorBidi" w:cstheme="majorBidi"/>
          <w:sz w:val="20"/>
          <w:szCs w:val="20"/>
        </w:rPr>
        <w:t>ineffectual due to the lower patient adoption</w:t>
      </w:r>
      <w:r w:rsidRPr="007C6708">
        <w:rPr>
          <w:rFonts w:asciiTheme="majorBidi" w:hAnsiTheme="majorBidi" w:cstheme="majorBidi"/>
          <w:sz w:val="20"/>
          <w:szCs w:val="20"/>
        </w:rPr>
        <w:t xml:space="preserve"> into the system.</w:t>
      </w:r>
      <w:r w:rsidR="00BE3A06" w:rsidRPr="007C6708">
        <w:rPr>
          <w:rFonts w:asciiTheme="majorBidi" w:hAnsiTheme="majorBidi" w:cstheme="majorBidi"/>
          <w:sz w:val="20"/>
          <w:szCs w:val="20"/>
        </w:rPr>
        <w:t xml:space="preserve"> </w:t>
      </w:r>
      <w:r w:rsidRPr="007C6708">
        <w:rPr>
          <w:rFonts w:asciiTheme="majorBidi" w:hAnsiTheme="majorBidi" w:cstheme="majorBidi"/>
          <w:sz w:val="20"/>
          <w:szCs w:val="20"/>
        </w:rPr>
        <w:t xml:space="preserve">This </w:t>
      </w:r>
      <w:r w:rsidR="000320D7" w:rsidRPr="007C6708">
        <w:rPr>
          <w:rFonts w:asciiTheme="majorBidi" w:hAnsiTheme="majorBidi" w:cstheme="majorBidi"/>
          <w:sz w:val="20"/>
          <w:szCs w:val="20"/>
        </w:rPr>
        <w:t>paper</w:t>
      </w:r>
      <w:r w:rsidRPr="007C6708">
        <w:rPr>
          <w:rFonts w:asciiTheme="majorBidi" w:hAnsiTheme="majorBidi" w:cstheme="majorBidi"/>
          <w:sz w:val="20"/>
          <w:szCs w:val="20"/>
        </w:rPr>
        <w:t xml:space="preserve"> presents</w:t>
      </w:r>
      <w:r w:rsidR="00636683" w:rsidRPr="007C6708">
        <w:rPr>
          <w:rFonts w:asciiTheme="majorBidi" w:hAnsiTheme="majorBidi" w:cstheme="majorBidi"/>
          <w:sz w:val="20"/>
          <w:szCs w:val="20"/>
        </w:rPr>
        <w:t xml:space="preserve"> </w:t>
      </w:r>
      <w:r w:rsidR="00FB65FA" w:rsidRPr="007C6708">
        <w:rPr>
          <w:rFonts w:asciiTheme="majorBidi" w:hAnsiTheme="majorBidi" w:cstheme="majorBidi"/>
          <w:sz w:val="20"/>
          <w:szCs w:val="20"/>
        </w:rPr>
        <w:t>a</w:t>
      </w:r>
      <w:r w:rsidRPr="007C6708">
        <w:rPr>
          <w:rFonts w:asciiTheme="majorBidi" w:hAnsiTheme="majorBidi" w:cstheme="majorBidi"/>
          <w:sz w:val="20"/>
          <w:szCs w:val="20"/>
        </w:rPr>
        <w:t xml:space="preserve"> Blockchain-enabled PHC ecosystem that addresses</w:t>
      </w:r>
      <w:r w:rsidR="00636683" w:rsidRPr="007C6708">
        <w:rPr>
          <w:rFonts w:asciiTheme="majorBidi" w:hAnsiTheme="majorBidi" w:cstheme="majorBidi"/>
          <w:sz w:val="20"/>
          <w:szCs w:val="20"/>
        </w:rPr>
        <w:t xml:space="preserve"> </w:t>
      </w:r>
      <w:r w:rsidRPr="007C6708">
        <w:rPr>
          <w:rFonts w:asciiTheme="majorBidi" w:hAnsiTheme="majorBidi" w:cstheme="majorBidi"/>
          <w:sz w:val="20"/>
          <w:szCs w:val="20"/>
        </w:rPr>
        <w:t>ongoing issues and challenges regarding low opt-in</w:t>
      </w:r>
      <w:r w:rsidR="00F03125" w:rsidRPr="007C6708">
        <w:rPr>
          <w:rFonts w:asciiTheme="majorBidi" w:hAnsiTheme="majorBidi" w:cstheme="majorBidi"/>
          <w:sz w:val="20"/>
          <w:szCs w:val="20"/>
        </w:rPr>
        <w:t xml:space="preserve"> rates. Soft Systems Methodology was adopted to create and validate UML design artefacts. </w:t>
      </w:r>
      <w:r w:rsidR="00636683" w:rsidRPr="007C6708">
        <w:rPr>
          <w:rFonts w:asciiTheme="majorBidi" w:hAnsiTheme="majorBidi" w:cstheme="majorBidi"/>
          <w:sz w:val="20"/>
          <w:szCs w:val="20"/>
        </w:rPr>
        <w:t>R</w:t>
      </w:r>
      <w:r w:rsidR="00BE3A06" w:rsidRPr="007C6708">
        <w:rPr>
          <w:rFonts w:asciiTheme="majorBidi" w:hAnsiTheme="majorBidi" w:cstheme="majorBidi"/>
          <w:sz w:val="20"/>
          <w:szCs w:val="20"/>
        </w:rPr>
        <w:t xml:space="preserve">esearch findings report that there is a need for data-driven, secure, transparent, scalable, individualised </w:t>
      </w:r>
      <w:r w:rsidR="00F03125" w:rsidRPr="007C6708">
        <w:rPr>
          <w:rFonts w:asciiTheme="majorBidi" w:hAnsiTheme="majorBidi" w:cstheme="majorBidi"/>
          <w:sz w:val="20"/>
          <w:szCs w:val="20"/>
        </w:rPr>
        <w:t>and precise medicine</w:t>
      </w:r>
      <w:r w:rsidR="00BE3A06" w:rsidRPr="007C6708">
        <w:rPr>
          <w:rFonts w:asciiTheme="majorBidi" w:hAnsiTheme="majorBidi" w:cstheme="majorBidi"/>
          <w:sz w:val="20"/>
          <w:szCs w:val="20"/>
        </w:rPr>
        <w:t xml:space="preserve"> for the sustainability of healthcare</w:t>
      </w:r>
      <w:r w:rsidR="00D659E6" w:rsidRPr="007C6708">
        <w:rPr>
          <w:rFonts w:asciiTheme="majorBidi" w:hAnsiTheme="majorBidi" w:cstheme="majorBidi"/>
          <w:sz w:val="20"/>
          <w:szCs w:val="20"/>
        </w:rPr>
        <w:t xml:space="preserve"> and suggests further research and industry application</w:t>
      </w:r>
      <w:r w:rsidR="00BE3A06" w:rsidRPr="007C6708">
        <w:rPr>
          <w:rFonts w:asciiTheme="majorBidi" w:hAnsiTheme="majorBidi" w:cstheme="majorBidi"/>
          <w:sz w:val="20"/>
          <w:szCs w:val="20"/>
        </w:rPr>
        <w:t xml:space="preserve"> </w:t>
      </w:r>
      <w:r w:rsidR="00D659E6" w:rsidRPr="007C6708">
        <w:rPr>
          <w:rFonts w:asciiTheme="majorBidi" w:hAnsiTheme="majorBidi" w:cstheme="majorBidi"/>
          <w:sz w:val="20"/>
          <w:szCs w:val="20"/>
        </w:rPr>
        <w:t xml:space="preserve">of </w:t>
      </w:r>
      <w:r w:rsidR="00BE3A06" w:rsidRPr="007C6708">
        <w:rPr>
          <w:rFonts w:asciiTheme="majorBidi" w:hAnsiTheme="majorBidi" w:cstheme="majorBidi"/>
          <w:sz w:val="20"/>
          <w:szCs w:val="20"/>
        </w:rPr>
        <w:t xml:space="preserve">explainable AI, data standards for biosensor devices, affordable </w:t>
      </w:r>
      <w:r w:rsidR="00D659E6" w:rsidRPr="007C6708">
        <w:rPr>
          <w:rFonts w:asciiTheme="majorBidi" w:hAnsiTheme="majorBidi" w:cstheme="majorBidi"/>
          <w:sz w:val="20"/>
          <w:szCs w:val="20"/>
        </w:rPr>
        <w:t>B</w:t>
      </w:r>
      <w:r w:rsidR="00BE3A06" w:rsidRPr="007C6708">
        <w:rPr>
          <w:rFonts w:asciiTheme="majorBidi" w:hAnsiTheme="majorBidi" w:cstheme="majorBidi"/>
          <w:sz w:val="20"/>
          <w:szCs w:val="20"/>
        </w:rPr>
        <w:t>lockchain solutions for storage, privacy and security policy, interoperability, and user-centricity.</w:t>
      </w:r>
      <w:r w:rsidR="00F03125" w:rsidRPr="007C6708">
        <w:rPr>
          <w:rFonts w:asciiTheme="majorBidi" w:hAnsiTheme="majorBidi" w:cstheme="majorBidi"/>
          <w:sz w:val="20"/>
          <w:szCs w:val="20"/>
        </w:rPr>
        <w:t xml:space="preserve">  </w:t>
      </w:r>
    </w:p>
    <w:p w14:paraId="37A467BE" w14:textId="4117AC37" w:rsidR="000B58C6" w:rsidRDefault="000B58C6" w:rsidP="00142517">
      <w:pPr>
        <w:adjustRightInd w:val="0"/>
        <w:snapToGrid w:val="0"/>
        <w:spacing w:line="240" w:lineRule="auto"/>
        <w:jc w:val="both"/>
        <w:rPr>
          <w:rFonts w:asciiTheme="majorBidi" w:hAnsiTheme="majorBidi" w:cstheme="majorBidi"/>
          <w:sz w:val="20"/>
          <w:szCs w:val="20"/>
        </w:rPr>
      </w:pPr>
      <w:r w:rsidRPr="000B58C6">
        <w:rPr>
          <w:rFonts w:asciiTheme="majorBidi" w:hAnsiTheme="majorBidi" w:cstheme="majorBidi"/>
          <w:b/>
          <w:bCs/>
          <w:i/>
          <w:sz w:val="20"/>
          <w:szCs w:val="20"/>
        </w:rPr>
        <w:t>Keywords</w:t>
      </w:r>
      <w:r w:rsidRPr="000B58C6">
        <w:rPr>
          <w:rFonts w:asciiTheme="majorBidi" w:hAnsiTheme="majorBidi" w:cstheme="majorBidi"/>
          <w:b/>
          <w:bCs/>
          <w:sz w:val="20"/>
          <w:szCs w:val="20"/>
        </w:rPr>
        <w:t>:</w:t>
      </w:r>
      <w:r>
        <w:rPr>
          <w:rFonts w:asciiTheme="majorBidi" w:hAnsiTheme="majorBidi" w:cstheme="majorBidi"/>
          <w:sz w:val="20"/>
          <w:szCs w:val="20"/>
        </w:rPr>
        <w:t xml:space="preserve"> Blockchain</w:t>
      </w:r>
      <w:r w:rsidRPr="000B58C6">
        <w:rPr>
          <w:rFonts w:asciiTheme="majorBidi" w:hAnsiTheme="majorBidi" w:cstheme="majorBidi"/>
          <w:sz w:val="20"/>
          <w:szCs w:val="20"/>
        </w:rPr>
        <w:t xml:space="preserve">, </w:t>
      </w:r>
      <w:r>
        <w:rPr>
          <w:rFonts w:asciiTheme="majorBidi" w:hAnsiTheme="majorBidi" w:cstheme="majorBidi"/>
          <w:sz w:val="20"/>
          <w:szCs w:val="20"/>
        </w:rPr>
        <w:t>Precision Healthcare</w:t>
      </w:r>
      <w:r w:rsidRPr="000B58C6">
        <w:rPr>
          <w:rFonts w:asciiTheme="majorBidi" w:hAnsiTheme="majorBidi" w:cstheme="majorBidi"/>
          <w:sz w:val="20"/>
          <w:szCs w:val="20"/>
        </w:rPr>
        <w:t xml:space="preserve">, </w:t>
      </w:r>
      <w:r>
        <w:rPr>
          <w:rFonts w:asciiTheme="majorBidi" w:hAnsiTheme="majorBidi" w:cstheme="majorBidi"/>
          <w:sz w:val="20"/>
          <w:szCs w:val="20"/>
        </w:rPr>
        <w:t>Trust, Sustainability</w:t>
      </w:r>
      <w:r w:rsidRPr="000B58C6">
        <w:rPr>
          <w:rFonts w:asciiTheme="majorBidi" w:hAnsiTheme="majorBidi" w:cstheme="majorBidi"/>
          <w:sz w:val="20"/>
          <w:szCs w:val="20"/>
        </w:rPr>
        <w:t>.</w:t>
      </w:r>
    </w:p>
    <w:p w14:paraId="7BE5D12C" w14:textId="3DB262B0" w:rsidR="000B58C6" w:rsidRDefault="000B58C6" w:rsidP="000B58C6">
      <w:pPr>
        <w:pStyle w:val="Heading1"/>
        <w:spacing w:before="0" w:beforeAutospacing="0" w:after="0" w:afterAutospacing="0"/>
        <w:jc w:val="center"/>
        <w:rPr>
          <w:rFonts w:asciiTheme="majorBidi" w:hAnsiTheme="majorBidi" w:cstheme="majorBidi"/>
          <w:sz w:val="20"/>
          <w:szCs w:val="20"/>
        </w:rPr>
      </w:pPr>
      <w:r>
        <w:rPr>
          <w:rFonts w:asciiTheme="majorBidi" w:hAnsiTheme="majorBidi" w:cstheme="majorBidi"/>
          <w:sz w:val="20"/>
          <w:szCs w:val="20"/>
        </w:rPr>
        <w:t>INTRODUCTION</w:t>
      </w:r>
    </w:p>
    <w:p w14:paraId="02D896DC" w14:textId="3A0E5334" w:rsidR="000B58C6" w:rsidRDefault="000B58C6" w:rsidP="00142517">
      <w:pPr>
        <w:spacing w:line="240" w:lineRule="auto"/>
        <w:jc w:val="both"/>
        <w:rPr>
          <w:rFonts w:asciiTheme="majorBidi" w:hAnsiTheme="majorBidi" w:cstheme="majorBidi"/>
          <w:sz w:val="20"/>
          <w:szCs w:val="20"/>
        </w:rPr>
      </w:pPr>
      <w:r w:rsidRPr="000B58C6">
        <w:rPr>
          <w:rFonts w:asciiTheme="majorBidi" w:hAnsiTheme="majorBidi" w:cstheme="majorBidi"/>
          <w:sz w:val="20"/>
          <w:szCs w:val="20"/>
        </w:rPr>
        <w:t xml:space="preserve">PHC can be defined as the integration of emerging technologies </w:t>
      </w:r>
      <w:r w:rsidR="00337176">
        <w:rPr>
          <w:rFonts w:asciiTheme="majorBidi" w:hAnsiTheme="majorBidi" w:cstheme="majorBidi"/>
          <w:sz w:val="20"/>
          <w:szCs w:val="20"/>
        </w:rPr>
        <w:t>that can</w:t>
      </w:r>
      <w:r w:rsidRPr="000B58C6">
        <w:rPr>
          <w:rFonts w:asciiTheme="majorBidi" w:hAnsiTheme="majorBidi" w:cstheme="majorBidi"/>
          <w:sz w:val="20"/>
          <w:szCs w:val="20"/>
        </w:rPr>
        <w:t xml:space="preserve"> provide tailored medical treatment for individuals in optimised time and cost, along with navigation, interoperability, and scalability. Its potential is evident with the gradual decrease in genome sequencing prices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{"citationID":"xeyo1kl1","properties":{"formattedCitation":"({\\i{}Digital Transformation of Industries: Healthcare}, 2016; Zimmerman, 2013)","plainCitation":"(Digital Transformation of Industries: Healthcare, 2016; Zimmerman, 2013)","dontUpdate":true,"noteIndex":0},"citationItems":[{"id":530,"uris":["http://zotero.org/users/5664472/items/PV34B9FB"],"itemData":{"id":530,"type":"report","language":"English (US)","page":"36","publisher":"World Economic Forum","title":"Digital Transformation of Industries: Healthcare","URL":"http://reports.weforum.org/digital-transformation/wp-content/blogs.dir/94/mp/files/pages/files/wef-dti-healthcarewhitepaper-final-january-2016.pdf","accessed":{"date-parts":[["2019",11,6]]},"issued":{"date-parts":[["2016",1]]}}},{"id":988,"uris":["http://zotero.org/users/5664472/items/H68MBVNK"],"itemData":{"id":988,"type":"webpage","container-title":"CNN Business","title":"The race to a $100 genome","URL":"https://money.cnn.com/2013/06/25/technology/enterprise/low-cost-genome-sequencing/index.html","author":[{"family":"Zimmerman","given":"Eilene"}],"accessed":{"date-parts":[["2019",11,13]]},"issued":{"date-parts":[["2013",6,25]]}}}],"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szCs w:val="24"/>
        </w:rPr>
        <w:t>(Zimmerman, 2013)</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Furthermore, PHC </w:t>
      </w:r>
      <w:r w:rsidR="00D659E6">
        <w:rPr>
          <w:rFonts w:asciiTheme="majorBidi" w:hAnsiTheme="majorBidi" w:cstheme="majorBidi"/>
          <w:sz w:val="20"/>
          <w:szCs w:val="20"/>
        </w:rPr>
        <w:t>is</w:t>
      </w:r>
      <w:r w:rsidRPr="000B58C6">
        <w:rPr>
          <w:rFonts w:asciiTheme="majorBidi" w:hAnsiTheme="majorBidi" w:cstheme="majorBidi"/>
          <w:sz w:val="20"/>
          <w:szCs w:val="20"/>
        </w:rPr>
        <w:t xml:space="preserve"> potential to improve medication errors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{"citationID":"otGsT1dt","properties":{"formattedCitation":"({\\i{}Harvard Business Review}, 2018)","plainCitation":"(Harvard Business Review, 2018)","noteIndex":0},"citationItems":[{"id":987,"uris":["http://zotero.org/users/5664472/items/ST3DPFRN"],"itemData":{"id":987,"type":"webpage","container-title":"Harvard Business Review","language":"English","title":"Precision Medicine Could Have a Major Impact on Healthcare Outcomes and Costs","title-short":"Harvard Business Review","URL":"https://hbr.org/sponsored/2018/12/precision-medicine-could-have-a-major-impact-on-healthcare-outcomes-and-costs","accessed":{"date-parts":[["2019",11,13]]},"issued":{"date-parts":[["2018",12,7]]}}}],"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Harvard Business Review</w:t>
      </w:r>
      <w:r w:rsidR="00142517" w:rsidRPr="00142517">
        <w:rPr>
          <w:rFonts w:ascii="Times New Roman" w:hAnsi="Times New Roman" w:cs="Times New Roman"/>
          <w:sz w:val="20"/>
          <w:szCs w:val="24"/>
        </w:rPr>
        <w:t>, 2018)</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address ongoing health workforce constraints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{"citationID":"VmO7MXPc","properties":{"formattedCitation":"(Rogers, 2019)","plainCitation":"(Rogers, 2019)","noteIndex":0},"citationItems":[{"id":986,"uris":["http://zotero.org/users/5664472/items/4TWSLLYN"],"itemData":{"id":986,"type":"webpage","container-title":"CNBC","title":"America's aging population is leading to a doctor shortage crisis","title-short":"CNBC","URL":"https://www.cnbc.com/2019/09/06/americas-aging-population-is-leading-to-a-doctor-shortage-crisis.html","author":[{"family":"Rogers","given":"Kate"}],"accessed":{"date-parts":[["2019",11,13]]},"issued":{"date-parts":[["2019",9,6]]}}}],"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rPr>
        <w:t>(Rogers, 2019)</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and, most importantly, reduce conventional healthcare expenses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{"citationID":"1qc7fGrV","properties":{"formattedCitation":"(B\\uc0\\u237{}r\\uc0\\u243{}, Dombr\\uc0\\u225{}di, Jani, Boruzs, &amp; Gray, 2018; Hull, 2018)","plainCitation":"(Bíró, Dombrádi, Jani, Boruzs, &amp; Gray, 2018; Hull, 2018)","dontUpdate":true,"noteIndex":0},"citationItems":[{"id":930,"uris":["http://zotero.org/users/5664472/items/MXQWRRDV"],"itemData":{"id":930,"type":"article-journal","abstract":"Background Because of the limited success of population-based prevention methods and due to developments in genomic screening, public health professionals and health policy makers are increasingly interested in more individualized prevention strategies. However, the terminology applied in this ﬁeld is still ambiguous and thus has the potential to create misunderstandings.\nMethods A narrative literature review was conducted to identify how individualized, personalized and precision prevention are used in research papers and documents. Based on the ﬁndings a set of deﬁnitions were created that distinguish between these activities in a meaningful way.\nResults Deﬁnitions were found only for precision prevention, not for individualized or personalized prevention. The deﬁnitions of individualized, personalized and precision medicine were therefore used to create the deﬁnitions for their prevention counterparts. By these deﬁnitions, individualized prevention consists of all types of prevention that are individual-based; personalized prevention also consists of at least one form of -omic screening; and precision prevention further includes psychological, behavioral and socioeconomic data for each patient.\nConclusions By deﬁning these three key terms for different types of individual-based prevention both researchers and health policy makers can differentiate and use them in their proper context.","container-title":"Public Health","DOI":"10.1093/pubmed/fdy066","ISSN":"1741-3842, 1741-3850","issue":"4","language":"en","page":"552-559","source":"DOI.org (Crossref)","title":"Creating a common language: defining individualized, personalized and precision prevention in public health","title-short":"Creating a common language","volume":"40","author":[{"family":"Bíró","given":"K"},{"family":"Dombrádi","given":"V"},{"family":"Jani","given":"A"},{"family":"Boruzs","given":"K"},{"family":"Gray","given":"M"}],"issued":{"date-parts":[["2018",12,1]]}}},{"id":960,"uris":["http://zotero.org/users/5664472/items/95MDXKRM"],"itemData":{"id":960,"type":"article-journal","container-title":"Nursing Management (Springhouse)","DOI":"10.1097/01.NUMA.0000538923.68406.3c","ISSN":"0744-6314","issue":"7","journalAbbreviation":"Nursing Management (Springhouse)","language":"en","page":"9-11","source":"DOI.org (Crossref)","title":"Are we ready for precision health?","title-short":"Are we ready for precision health?","volume":"49","author":[{"family":"Hull","given":"Susan C."}],"issued":{"date-parts":[["2018",7]]}}}],"schema":"https://github.com/citation-style-language/schema/raw/master/csl-citation.json"} </w:instrText>
      </w:r>
      <w:r w:rsidRPr="000B58C6">
        <w:rPr>
          <w:rFonts w:asciiTheme="majorBidi" w:hAnsiTheme="majorBidi" w:cstheme="majorBidi"/>
          <w:sz w:val="20"/>
          <w:szCs w:val="20"/>
        </w:rPr>
        <w:fldChar w:fldCharType="separate"/>
      </w:r>
      <w:r w:rsidRPr="000B58C6">
        <w:rPr>
          <w:rFonts w:asciiTheme="majorBidi" w:hAnsiTheme="majorBidi" w:cstheme="majorBidi"/>
          <w:sz w:val="20"/>
          <w:szCs w:val="20"/>
        </w:rPr>
        <w:t>(Bíró et al., 2018; Hull, 2018)</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Due to data centricity, PHC's efficacy depends on the volume of health data and applied analytics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{"citationID":"7ugj3gJn","properties":{"formattedCitation":"(Sharma et al., 2019)","plainCitation":"(Sharma et al., 2019)","noteIndex":0},"citationItems":[{"id":1191,"uris":["http://zotero.org/users/5664472/items/5PZK6UQD"],"itemData":{"id":1191,"type":"article-journal","abstract":"Purpose The purpose of this paper is to describe the application of soft systems methodology (SSM) to address the problematic situation of low opt-in rates for Precision Health-Care (PHC). Design/methodology/approach The design logic is that when trust is enhanced and compliance is better assured, participants such as patients and their doctors would be more likely to share their medical data and diagnosis for the purpose of precision modeling. Findings The authors present the findings of an empirical study that confronts the design challenge of increasing participant opt-in to a PHC repository of Electronic Medical Records and genetic sequencing. Guided by SSM, the authors formulate design rules for the establishment of a trust-less platform for PHC which incorporates key principles of transparency, traceability and immutability. Research limitations/implications The SSM approach has been criticized for its lack of “rigour” and “replicability”. This is a fallacy in understanding its purpose – theory exploration rather than theory confirmation. Moreover, it is unlikely that quantitative modeling yields any clearer an understanding of complex, socio-technical systems. Practical implications The application of Blockchain, a platform for distributed ledgers, and associated technologies present a feasible approach for resolving the problematic situation of low opt-in rates. Social implications A consequence of low participation is the weak recall and precision of descriptive, predictive and prescriptive analytic models. Factors such as cyber-crime, data violation and the potential for misuse of genetic and medical records have led to a lack of trust from key stakeholders – accessors, participants, miners and regulators – to varying degrees. Originality/value The application of Blockchain as a trust-enabling platform in the domain of an emerging eco-system such as precision health is novel and pioneering.","container-title":"Industrial Management &amp; Data Systems","DOI":"10.1108/IMDS-07-2019-0401","ISSN":"0263-5577","issue":"3","note":"publisher: Emerald Publishing Limited","page":"608-632","source":"Emerald Insight","title":"Design of Blockchain-based Precision Health-Care Using Soft Systems Methodology","volume":"120","author":[{"family":"Sharma","given":"Ravi"},{"family":"Zhang","given":"Charcy"},{"family":"Wingreen","given":"Stephen C."},{"family":"Kshetri","given":"Nir"},{"family":"Zahid","given":"Arnob"}],"issued":{"date-parts":[["2019",1,1]]}}}],"schema":"https://github.com/citation-style-language/schema/raw/master/csl-citation.json"}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rPr>
        <w:t>(Sharma et al., 2019)</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In contemporary healthcare, PHC initiatives only address chronic diseases (e.g., cancer, tumour, diabetes)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{"citationID":"s0nwNeSy","properties":{"formattedCitation":"(Barker, 2017)","plainCitation":"(Barker, 2017)","dontUpdate":true,"noteIndex":0},"citationItems":[{"id":216,"uris":["http://zotero.org/users/5664472/items/KL24WUP4"],"itemData":{"id":216,"type":"article-journal","container-title":"Personalized Medicine","DOI":"10.2217/pme-2017-0060","ISSN":"1741-0541, 1744-828X","issue":"6","journalAbbreviation":"Personalized Medicine","language":"en","page":"459-461","source":"DOI.org (Crossref)","title":"Is precision medicine the future of healthcare?","volume":"14","author":[{"family":"Barker","given":"Richard W"}],"issued":{"date-parts":[["2017",11]]}}}],"schema":"https://github.com/citation-style-language/schema/raw/master/csl-citation.json"} </w:instrText>
      </w:r>
      <w:r w:rsidRPr="000B58C6">
        <w:rPr>
          <w:rFonts w:asciiTheme="majorBidi" w:hAnsiTheme="majorBidi" w:cstheme="majorBidi"/>
          <w:sz w:val="20"/>
          <w:szCs w:val="20"/>
        </w:rPr>
        <w:fldChar w:fldCharType="separate"/>
      </w:r>
      <w:r w:rsidRPr="000B58C6">
        <w:rPr>
          <w:rFonts w:asciiTheme="majorBidi" w:hAnsiTheme="majorBidi" w:cstheme="majorBidi"/>
          <w:sz w:val="20"/>
          <w:szCs w:val="20"/>
        </w:rPr>
        <w:t>(Barker, 2017;</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{"citationID":"InEWCtwF","properties":{"formattedCitation":"(F. L. Stephanie &amp; Sharma, 2021)","plainCitation":"(F. L. Stephanie &amp; Sharma, 2021)","dontUpdate":true,"noteIndex":0},"citationItems":[{"id":1655,"uris":["http://zotero.org/users/5664472/items/M5LYJQCP"],"itemData":{"id":1655,"type":"book","abstract":"The United Nation's Sustainable Development Goals call for the establishment of Good Health and Well-being and targets a universal digital healthcare ecosystem by 2030. However, existing technology infrastructure is ineffectual in achieving the envisioned target and requires massive reconfiguration to achieve its intended outcome. This book suggests a way forward with fair and efficient digital health networks that provide resource efficiencies and inclusive access to those who are currently under-served. Specifically, a fair and efficient digital health network that provides a common platform to its key stakeholders to facilitate sharing of information with a view to promote cooperation and maxim benefits. A promising platform for this critical application is ‘cloud technology’ with its offer of computing as a utility and resource sharing. This is an area that has attracted much scholarly attention as it is well-suited to foster such a network and bring together diverse players who would otherwise remain fragmented and be unable to reap benefits that accrue from cooperation. The fundamental premise is that the notion of value in a digital-health ecosystem is brought about by the sharing and exchange of digital information.  Notwithstanding the potential of information and communication technology to transform the healthcare industry for the better, there are several barriers to its adoption, the most significant one being misaligned incentives for some stakeholders. This monograph suggests among other findings, that e-health in its true sense can become fair and efficient if and only if a regulatory body concerned assumes responsibility as the custodian of its citizens’ health information so that ‘collaboration for value’ will replace ‘competition for revenue’ as the new axiom in delivering the public good of healthcare through digital networks. Besides suggesting how e-health can become fair and efficient, the book also explores business models that could perpetuate significant values in the e-health ecosystem.","source":"Amazon","title":"Capturing Value in Digital Health Eco-Systems: Validating Strategies for Stakeholders","title-short":"Capturing Value in Digital Health Eco-Systems","author":[{"family":"Stephanie","given":"Felix Lena"},{"family":"Sharma","given":"Ravi S."}],"issued":{"date-parts":[["2021",10,29]]}}}],"schema":"https://github.com/citation-style-language/schema/raw/master/csl-citation.json"} </w:instrText>
      </w:r>
      <w:r w:rsidRPr="000B58C6">
        <w:rPr>
          <w:rFonts w:asciiTheme="majorBidi" w:hAnsiTheme="majorBidi" w:cstheme="majorBidi"/>
          <w:sz w:val="20"/>
          <w:szCs w:val="20"/>
        </w:rPr>
        <w:fldChar w:fldCharType="separate"/>
      </w:r>
      <w:r w:rsidRPr="000B58C6">
        <w:rPr>
          <w:rFonts w:asciiTheme="majorBidi" w:hAnsiTheme="majorBidi" w:cstheme="majorBidi"/>
          <w:sz w:val="20"/>
          <w:szCs w:val="20"/>
        </w:rPr>
        <w:t>Zahid, 2021)</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Therefore, despite its potential, PHC is currently found to be inefficient in performance due to low adoption by stakeholders.</w:t>
      </w:r>
    </w:p>
    <w:p w14:paraId="7EA9EA67" w14:textId="3C4D241B" w:rsidR="000B58C6" w:rsidRPr="000B58C6" w:rsidRDefault="000B58C6" w:rsidP="00B1393E">
      <w:pPr>
        <w:spacing w:after="0" w:line="240" w:lineRule="auto"/>
        <w:jc w:val="both"/>
        <w:rPr>
          <w:rFonts w:asciiTheme="majorBidi" w:hAnsiTheme="majorBidi" w:cstheme="majorBidi"/>
          <w:sz w:val="20"/>
          <w:szCs w:val="20"/>
        </w:rPr>
      </w:pPr>
      <w:r w:rsidRPr="000B58C6">
        <w:rPr>
          <w:rFonts w:asciiTheme="majorBidi" w:hAnsiTheme="majorBidi" w:cstheme="majorBidi"/>
          <w:sz w:val="20"/>
          <w:szCs w:val="20"/>
        </w:rPr>
        <w:t xml:space="preserve">Empirical evidence shows that people refrain from adopting PHC due to distrust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{"citationID":"S8X5s4W0","properties":{"formattedCitation":"(Sharma et al., 2019)","plainCitation":"(Sharma et al., 2019)","noteIndex":0},"citationItems":[{"id":1191,"uris":["http://zotero.org/users/5664472/items/5PZK6UQD"],"itemData":{"id":1191,"type":"article-journal","abstract":"Purpose The purpose of this paper is to describe the application of soft systems methodology (SSM) to address the problematic situation of low opt-in rates for Precision Health-Care (PHC). Design/methodology/approach The design logic is that when trust is enhanced and compliance is better assured, participants such as patients and their doctors would be more likely to share their medical data and diagnosis for the purpose of precision modeling. Findings The authors present the findings of an empirical study that confronts the design challenge of increasing participant opt-in to a PHC repository of Electronic Medical Records and genetic sequencing. Guided by SSM, the authors formulate design rules for the establishment of a trust-less platform for PHC which incorporates key principles of transparency, traceability and immutability. Research limitations/implications The SSM approach has been criticized for its lack of “rigour” and “replicability”. This is a fallacy in understanding its purpose – theory exploration rather than theory confirmation. Moreover, it is unlikely that quantitative modeling yields any clearer an understanding of complex, socio-technical systems. Practical implications The application of Blockchain, a platform for distributed ledgers, and associated technologies present a feasible approach for resolving the problematic situation of low opt-in rates. Social implications A consequence of low participation is the weak recall and precision of descriptive, predictive and prescriptive analytic models. Factors such as cyber-crime, data violation and the potential for misuse of genetic and medical records have led to a lack of trust from key stakeholders – accessors, participants, miners and regulators – to varying degrees. Originality/value The application of Blockchain as a trust-enabling platform in the domain of an emerging eco-system such as precision health is novel and pioneering.","container-title":"Industrial Management &amp; Data Systems","DOI":"10.1108/IMDS-07-2019-0401","ISSN":"0263-5577","issue":"3","note":"publisher: Emerald Publishing Limited","page":"608-632","source":"Emerald Insight","title":"Design of Blockchain-based Precision Health-Care Using Soft Systems Methodology","volume":"120","author":[{"family":"Sharma","given":"Ravi"},{"family":"Zhang","given":"Charcy"},{"family":"Wingreen","given":"Stephen C."},{"family":"Kshetri","given":"Nir"},{"family":"Zahid","given":"Arnob"}],"issued":{"date-parts":[["2019",1,1]]}}}],"schema":"https://github.com/citation-style-language/schema/raw/master/csl-citation.json"}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rPr>
        <w:t>(Sharma et al., 2019)</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Furthermore, the gradual increase of breach incidents (e.g. cyberattacks) in digital health systems </w:t>
      </w:r>
      <w:r w:rsidRPr="000B58C6">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{"citationID":"r1mUjMOR","properties":{"formattedCitation":"({\\i{}GDHP}, 2019)","plainCitation":"(GDHP,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schema":"https://github.com/citation-style-language/schema/raw/master/csl-citation.json"} </w:instrText>
      </w:r>
      <w:r w:rsidRPr="000B58C6">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0B58C6">
        <w:rPr>
          <w:rFonts w:asciiTheme="majorBidi" w:hAnsiTheme="majorBidi" w:cstheme="majorBidi"/>
          <w:sz w:val="20"/>
          <w:szCs w:val="20"/>
        </w:rPr>
        <w:fldChar w:fldCharType="end"/>
      </w:r>
      <w:r w:rsidRPr="000B58C6">
        <w:rPr>
          <w:rFonts w:asciiTheme="majorBidi" w:hAnsiTheme="majorBidi" w:cstheme="majorBidi"/>
          <w:sz w:val="20"/>
          <w:szCs w:val="20"/>
        </w:rPr>
        <w:t xml:space="preserve">, the probability of unauthorised health data access and viewing, the possibility of unsatisfactory physician-patient relationships, fear of embarrassment, stigma, and discrimination, and the possibility of disclosure of ethnic information (e.g. race, nationality) are playing the drastic role in </w:t>
      </w:r>
      <w:r w:rsidRPr="007C6708">
        <w:rPr>
          <w:rFonts w:asciiTheme="majorBidi" w:hAnsiTheme="majorBidi" w:cstheme="majorBidi"/>
          <w:sz w:val="20"/>
          <w:szCs w:val="20"/>
        </w:rPr>
        <w:t>compounding this distrust among people.</w:t>
      </w:r>
      <w:r w:rsidR="00D659E6" w:rsidRPr="007C6708">
        <w:rPr>
          <w:rFonts w:asciiTheme="majorBidi" w:hAnsiTheme="majorBidi" w:cstheme="majorBidi"/>
          <w:sz w:val="20"/>
          <w:szCs w:val="20"/>
        </w:rPr>
        <w:t xml:space="preserve"> Blockchain, an emerging technology</w:t>
      </w:r>
      <w:r w:rsidR="00D719F6" w:rsidRPr="007C6708">
        <w:rPr>
          <w:rFonts w:asciiTheme="majorBidi" w:hAnsiTheme="majorBidi" w:cstheme="majorBidi"/>
          <w:sz w:val="20"/>
          <w:szCs w:val="20"/>
        </w:rPr>
        <w:t xml:space="preserve"> for trust-less platforms</w:t>
      </w:r>
      <w:r w:rsidR="00337176" w:rsidRPr="007C6708">
        <w:rPr>
          <w:rFonts w:asciiTheme="majorBidi" w:hAnsiTheme="majorBidi" w:cstheme="majorBidi"/>
          <w:sz w:val="20"/>
          <w:szCs w:val="20"/>
        </w:rPr>
        <w:t>,</w:t>
      </w:r>
      <w:r w:rsidR="00D659E6" w:rsidRPr="007C6708">
        <w:rPr>
          <w:rFonts w:asciiTheme="majorBidi" w:hAnsiTheme="majorBidi" w:cstheme="majorBidi"/>
          <w:sz w:val="20"/>
          <w:szCs w:val="20"/>
        </w:rPr>
        <w:t xml:space="preserve"> incorporates</w:t>
      </w:r>
      <w:r w:rsidRPr="007C6708">
        <w:rPr>
          <w:rFonts w:asciiTheme="majorBidi" w:hAnsiTheme="majorBidi" w:cstheme="majorBidi"/>
          <w:sz w:val="20"/>
          <w:szCs w:val="20"/>
        </w:rPr>
        <w:t xml:space="preserve"> </w:t>
      </w:r>
      <w:r w:rsidR="00D659E6" w:rsidRPr="007C6708">
        <w:rPr>
          <w:rFonts w:asciiTheme="majorBidi" w:hAnsiTheme="majorBidi" w:cstheme="majorBidi"/>
          <w:sz w:val="20"/>
          <w:szCs w:val="20"/>
        </w:rPr>
        <w:t>state-of-the-art characteristics such as decentralisation, encryption, tamper-resistance, traceability, immutability, and transparency</w:t>
      </w:r>
      <w:r w:rsidR="00337176" w:rsidRPr="007C6708">
        <w:rPr>
          <w:rFonts w:asciiTheme="majorBidi" w:hAnsiTheme="majorBidi" w:cstheme="majorBidi"/>
          <w:sz w:val="20"/>
          <w:szCs w:val="20"/>
        </w:rPr>
        <w:t>;</w:t>
      </w:r>
      <w:r w:rsidR="00D659E6" w:rsidRPr="007C6708">
        <w:rPr>
          <w:rFonts w:asciiTheme="majorBidi" w:hAnsiTheme="majorBidi" w:cstheme="majorBidi"/>
          <w:sz w:val="20"/>
          <w:szCs w:val="20"/>
        </w:rPr>
        <w:t xml:space="preserve"> potential </w:t>
      </w:r>
      <w:r w:rsidR="00337176" w:rsidRPr="007C6708">
        <w:rPr>
          <w:rFonts w:asciiTheme="majorBidi" w:hAnsiTheme="majorBidi" w:cstheme="majorBidi"/>
          <w:sz w:val="20"/>
          <w:szCs w:val="20"/>
        </w:rPr>
        <w:t>to address</w:t>
      </w:r>
      <w:r w:rsidR="00D659E6" w:rsidRPr="007C6708">
        <w:rPr>
          <w:rFonts w:asciiTheme="majorBidi" w:hAnsiTheme="majorBidi" w:cstheme="majorBidi"/>
          <w:sz w:val="20"/>
          <w:szCs w:val="20"/>
        </w:rPr>
        <w:t xml:space="preserve"> t</w:t>
      </w:r>
      <w:r w:rsidR="00D719F6" w:rsidRPr="007C6708">
        <w:rPr>
          <w:rFonts w:asciiTheme="majorBidi" w:hAnsiTheme="majorBidi" w:cstheme="majorBidi"/>
          <w:sz w:val="20"/>
          <w:szCs w:val="20"/>
        </w:rPr>
        <w:t xml:space="preserve">he </w:t>
      </w:r>
      <w:r w:rsidR="00D659E6" w:rsidRPr="007C6708">
        <w:rPr>
          <w:rFonts w:asciiTheme="majorBidi" w:hAnsiTheme="majorBidi" w:cstheme="majorBidi"/>
          <w:sz w:val="20"/>
          <w:szCs w:val="20"/>
        </w:rPr>
        <w:t>issue</w:t>
      </w:r>
      <w:r w:rsidR="00D719F6" w:rsidRPr="007C6708">
        <w:rPr>
          <w:rFonts w:asciiTheme="majorBidi" w:hAnsiTheme="majorBidi" w:cstheme="majorBidi"/>
          <w:sz w:val="20"/>
          <w:szCs w:val="20"/>
        </w:rPr>
        <w:t xml:space="preserve"> of an acceptable Trusted Third Party (TTP)</w:t>
      </w:r>
      <w:r w:rsidR="00D659E6" w:rsidRPr="007C6708">
        <w:rPr>
          <w:rFonts w:asciiTheme="majorBidi" w:hAnsiTheme="majorBidi" w:cstheme="majorBidi"/>
          <w:sz w:val="20"/>
          <w:szCs w:val="20"/>
        </w:rPr>
        <w:t xml:space="preserve">. </w:t>
      </w:r>
      <w:r w:rsidRPr="007C6708">
        <w:rPr>
          <w:rFonts w:asciiTheme="majorBidi" w:hAnsiTheme="majorBidi" w:cstheme="majorBidi"/>
          <w:sz w:val="20"/>
          <w:szCs w:val="20"/>
        </w:rPr>
        <w:t>Therefore</w:t>
      </w:r>
      <w:r w:rsidR="00337176" w:rsidRPr="007C6708">
        <w:rPr>
          <w:rFonts w:asciiTheme="majorBidi" w:hAnsiTheme="majorBidi" w:cstheme="majorBidi"/>
          <w:sz w:val="20"/>
          <w:szCs w:val="20"/>
        </w:rPr>
        <w:t>, this paper introduces a Blockchain-enabled PHC ecosystem</w:t>
      </w:r>
      <w:r w:rsidR="00D659E6" w:rsidRPr="007C6708">
        <w:rPr>
          <w:rFonts w:asciiTheme="majorBidi" w:hAnsiTheme="majorBidi" w:cstheme="majorBidi"/>
          <w:sz w:val="20"/>
          <w:szCs w:val="20"/>
        </w:rPr>
        <w:t xml:space="preserve"> </w:t>
      </w:r>
      <w:r w:rsidRPr="007C6708">
        <w:rPr>
          <w:rFonts w:asciiTheme="majorBidi" w:hAnsiTheme="majorBidi" w:cstheme="majorBidi"/>
          <w:sz w:val="20"/>
          <w:szCs w:val="20"/>
        </w:rPr>
        <w:t>that addresses the issue of trust in healthcare stakeholders and the resulting low adoption challenges</w:t>
      </w:r>
      <w:r w:rsidR="00D659E6" w:rsidRPr="007C6708">
        <w:rPr>
          <w:rFonts w:asciiTheme="majorBidi" w:hAnsiTheme="majorBidi" w:cstheme="majorBidi"/>
          <w:sz w:val="20"/>
          <w:szCs w:val="20"/>
        </w:rPr>
        <w:t>. The research focuses on the design and empirical validation of the ecosystem artefact and sub-artefacts</w:t>
      </w:r>
      <w:r w:rsidRPr="007C6708">
        <w:rPr>
          <w:rFonts w:asciiTheme="majorBidi" w:hAnsiTheme="majorBidi" w:cstheme="majorBidi"/>
          <w:sz w:val="20"/>
          <w:szCs w:val="20"/>
        </w:rPr>
        <w:t>. The designed artefact</w:t>
      </w:r>
      <w:r w:rsidR="00D659E6" w:rsidRPr="007C6708">
        <w:rPr>
          <w:rFonts w:asciiTheme="majorBidi" w:hAnsiTheme="majorBidi" w:cstheme="majorBidi"/>
          <w:sz w:val="20"/>
          <w:szCs w:val="20"/>
        </w:rPr>
        <w:t xml:space="preserve"> and sub-artefacts</w:t>
      </w:r>
      <w:r w:rsidRPr="007C6708">
        <w:rPr>
          <w:rFonts w:asciiTheme="majorBidi" w:hAnsiTheme="majorBidi" w:cstheme="majorBidi"/>
          <w:sz w:val="20"/>
          <w:szCs w:val="20"/>
        </w:rPr>
        <w:t xml:space="preserve"> </w:t>
      </w:r>
      <w:r w:rsidRPr="00D659E6">
        <w:rPr>
          <w:rFonts w:asciiTheme="majorBidi" w:hAnsiTheme="majorBidi" w:cstheme="majorBidi"/>
          <w:sz w:val="20"/>
          <w:szCs w:val="20"/>
        </w:rPr>
        <w:t xml:space="preserve">are based on system design principles and rules discussed comprehensively in recent research studies and regulatory guidelines. As empirical evidence shows that the existing digital health infrastructure is incapable of satisfying the current and future health data needs </w:t>
      </w:r>
      <w:r w:rsidR="00A42355"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{"citationID":"YQ2Y2KAy","properties":{"formattedCitation":"(Svensson, 2019; Zahid et al., 2021)","plainCitation":"(Svensson, 2019; Zahid et al., 2021)","noteIndex":0},"citationItems":[{"id":849,"uris":["http://zotero.org/users/5664472/items/657RBIVA"],"itemData":{"id":849,"type":"webpage","abstract":"United Nations' SDG Goal 3 is to ensure healthy lives and to promote wellbeing for all. In the modern day, the human body can be broken down to bits and bytes;","language":"en-US","note":"source: cfi.co","title":"Digital Health: Answer to Challenges of UN SDG 3 | CFI.co","title-short":"Digital Health","URL":"https://cfi.co/sustainability/2019/11/digital-health-answer-to-challenges-of-un-sdg-3/","author":[{"family":"Svensson","given":"Tor"}],"accessed":{"date-parts":[["2020",2,28]]},"issued":{"date-parts":[["2019",11,11]]}}},{"id":1689,"uris":["http://zotero.org/users/5664472/items/65R38L95"],"itemData":{"id":1689,"type":"article-journal","abstract":"Background\nOf the Sustainable Development Goals (SDGs), the third presents the opportunity for a predictive universal digital healthcare ecosystem, capable of informing early warning, assisting in risk reduction and guiding management of national and global health risks. However, in reality, the existing technology infrastructure of digital healthcare systems is insufficient, failing to satisfy current and future data needs.\nObjective\nThis paper systematically reviews emerging information technologies for data modelling and analytics that have potential to achieve Data-Centric Health-Care (DCHC) for the envisioned objective of sustainable healthcare. The goal of this review is to: 1) identify emerging information technologies with potential for data modelling and analytics, and 2) explore recent research of these technologies in DCHC.\nFindings\nA total of 1619 relevant papers have been identified and analysed in this review. Of these, 69 were probed deeply. Our analysis found that the extant research focused on elder care, rehabilitation, chronic diseases, and healthcare service delivery. Use-cases of the emerging information technologies included providing assistance, monitoring, self-care and self-management, diagnosis, risk prediction, well-being awareness, personalized healthcare, and qualitative and/or quantitative service enhancement. Limitations identified in the studies included vendor hardware specificity, issues with user interface and usability, inadequate features, interoperability, scalability, and compatibility, unjustifiable costs and insufficient evaluation in terms of validation.\nConclusion\nAchievement of a predictive universal digital healthcare ecosystem in the current context is a challenge. State-of-the-art technologies demand user centric design, data privacy and protection measures, transparency, interoperability, scalability, and compatibility to achieve the SDG objective of sustainable healthcare by 2030.","container-title":"International Journal of Medical Informatics","DOI":"10.1016/j.ijmedinf.2021.104420","ISSN":"1386-5056","journalAbbreviation":"International Journal of Medical Informatics","language":"en","page":"104420","source":"ScienceDirect","title":"A systematic review of emerging information technologies for sustainable data-centric health-care","volume":"149","author":[{"family":"Zahid","given":"Arnob"},{"family":"Poulsen","given":"Jennifer Kay"},{"family":"Sharma","given":"Ravi"},{"family":"Wingreen","given":"Stephen C."}],"issued":{"date-parts":[["2021",5,1]]}}}],"schema":"https://github.com/citation-style-language/schema/raw/master/csl-citation.json"} </w:instrText>
      </w:r>
      <w:r w:rsidR="00A42355"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(Svensson, 2019; Zahid et al., 2021)</w:t>
      </w:r>
      <w:r w:rsidR="00A42355" w:rsidRPr="00F71EA8">
        <w:rPr>
          <w:rFonts w:asciiTheme="majorBidi" w:hAnsiTheme="majorBidi" w:cstheme="majorBidi"/>
          <w:sz w:val="20"/>
          <w:szCs w:val="20"/>
        </w:rPr>
        <w:fldChar w:fldCharType="end"/>
      </w:r>
      <w:r w:rsidRPr="00D659E6">
        <w:rPr>
          <w:rFonts w:asciiTheme="majorBidi" w:hAnsiTheme="majorBidi" w:cstheme="majorBidi"/>
          <w:sz w:val="20"/>
          <w:szCs w:val="20"/>
        </w:rPr>
        <w:t xml:space="preserve">, the designed </w:t>
      </w:r>
      <w:r w:rsidR="00D659E6" w:rsidRPr="00D659E6">
        <w:rPr>
          <w:rFonts w:asciiTheme="majorBidi" w:hAnsiTheme="majorBidi" w:cstheme="majorBidi"/>
          <w:sz w:val="20"/>
          <w:szCs w:val="20"/>
        </w:rPr>
        <w:t xml:space="preserve">ecosystem </w:t>
      </w:r>
      <w:r w:rsidRPr="00D659E6">
        <w:rPr>
          <w:rFonts w:asciiTheme="majorBidi" w:hAnsiTheme="majorBidi" w:cstheme="majorBidi"/>
          <w:sz w:val="20"/>
          <w:szCs w:val="20"/>
        </w:rPr>
        <w:t>artefact</w:t>
      </w:r>
      <w:r w:rsidR="00D659E6" w:rsidRPr="00D659E6">
        <w:rPr>
          <w:rFonts w:asciiTheme="majorBidi" w:hAnsiTheme="majorBidi" w:cstheme="majorBidi"/>
          <w:sz w:val="20"/>
          <w:szCs w:val="20"/>
        </w:rPr>
        <w:t xml:space="preserve"> and sub-artefacts</w:t>
      </w:r>
      <w:r w:rsidRPr="00D659E6">
        <w:rPr>
          <w:rFonts w:asciiTheme="majorBidi" w:hAnsiTheme="majorBidi" w:cstheme="majorBidi"/>
          <w:sz w:val="20"/>
          <w:szCs w:val="20"/>
        </w:rPr>
        <w:t xml:space="preserve"> also incorporate emerging information technologies that have the potential to ensure sustainable health data support, clarity, and trust among the stakeholders and facilitate uptake and adoption.</w:t>
      </w:r>
    </w:p>
    <w:p w14:paraId="20ADD564" w14:textId="7B8F6DE2" w:rsidR="00605BC7" w:rsidRDefault="00605BC7" w:rsidP="00605BC7">
      <w:pPr>
        <w:pStyle w:val="Heading1"/>
        <w:spacing w:before="0" w:beforeAutospacing="0" w:after="0" w:afterAutospacing="0"/>
        <w:jc w:val="center"/>
        <w:rPr>
          <w:rFonts w:asciiTheme="majorBidi" w:hAnsiTheme="majorBidi" w:cstheme="majorBidi"/>
          <w:sz w:val="20"/>
          <w:szCs w:val="20"/>
        </w:rPr>
      </w:pPr>
      <w:r w:rsidRPr="00605BC7">
        <w:rPr>
          <w:rFonts w:asciiTheme="majorBidi" w:hAnsiTheme="majorBidi" w:cstheme="majorBidi"/>
          <w:sz w:val="20"/>
          <w:szCs w:val="20"/>
        </w:rPr>
        <w:t>BACKGROUND REVIEW</w:t>
      </w:r>
    </w:p>
    <w:p w14:paraId="3169F95C" w14:textId="25E106CA" w:rsidR="00605BC7" w:rsidRPr="007C6708" w:rsidRDefault="00605BC7" w:rsidP="002B39B4">
      <w:pPr>
        <w:pStyle w:val="NoSpacing"/>
        <w:jc w:val="both"/>
        <w:rPr>
          <w:rFonts w:asciiTheme="majorBidi" w:hAnsiTheme="majorBidi" w:cstheme="majorBidi"/>
          <w:sz w:val="20"/>
          <w:szCs w:val="20"/>
        </w:rPr>
      </w:pPr>
      <w:r w:rsidRPr="007C6708">
        <w:rPr>
          <w:rFonts w:asciiTheme="majorBidi" w:hAnsiTheme="majorBidi" w:cstheme="majorBidi"/>
          <w:sz w:val="20"/>
          <w:szCs w:val="20"/>
        </w:rPr>
        <w:t>The design</w:t>
      </w:r>
      <w:r w:rsidR="002B39B4" w:rsidRPr="007C6708">
        <w:rPr>
          <w:rFonts w:asciiTheme="majorBidi" w:hAnsiTheme="majorBidi" w:cstheme="majorBidi"/>
          <w:sz w:val="20"/>
          <w:szCs w:val="20"/>
        </w:rPr>
        <w:t>ing</w:t>
      </w:r>
      <w:r w:rsidRPr="007C6708">
        <w:rPr>
          <w:rFonts w:asciiTheme="majorBidi" w:hAnsiTheme="majorBidi" w:cstheme="majorBidi"/>
          <w:sz w:val="20"/>
          <w:szCs w:val="20"/>
        </w:rPr>
        <w:t xml:space="preserve"> of the PHC ecosystem progressed with</w:t>
      </w:r>
      <w:r w:rsidR="00337176" w:rsidRPr="007C6708">
        <w:rPr>
          <w:rFonts w:asciiTheme="majorBidi" w:hAnsiTheme="majorBidi" w:cstheme="majorBidi"/>
          <w:sz w:val="20"/>
          <w:szCs w:val="20"/>
        </w:rPr>
        <w:t xml:space="preserve"> a comprehensive review of </w:t>
      </w:r>
      <w:r w:rsidR="00D719F6" w:rsidRPr="007C6708">
        <w:rPr>
          <w:rFonts w:asciiTheme="majorBidi" w:hAnsiTheme="majorBidi" w:cstheme="majorBidi"/>
          <w:sz w:val="20"/>
          <w:szCs w:val="20"/>
        </w:rPr>
        <w:t xml:space="preserve">underlying </w:t>
      </w:r>
      <w:r w:rsidR="00337176" w:rsidRPr="007C6708">
        <w:rPr>
          <w:rFonts w:asciiTheme="majorBidi" w:hAnsiTheme="majorBidi" w:cstheme="majorBidi"/>
          <w:sz w:val="20"/>
          <w:szCs w:val="20"/>
        </w:rPr>
        <w:t>technologies</w:t>
      </w:r>
      <w:r w:rsidR="00D719F6" w:rsidRPr="007C6708">
        <w:rPr>
          <w:rFonts w:asciiTheme="majorBidi" w:hAnsiTheme="majorBidi" w:cstheme="majorBidi"/>
          <w:sz w:val="20"/>
          <w:szCs w:val="20"/>
        </w:rPr>
        <w:t xml:space="preserve"> such as IoT, VR, AI and big data</w:t>
      </w:r>
      <w:r w:rsidR="00337176" w:rsidRPr="007C6708">
        <w:rPr>
          <w:rFonts w:asciiTheme="majorBidi" w:hAnsiTheme="majorBidi" w:cstheme="majorBidi"/>
          <w:sz w:val="20"/>
          <w:szCs w:val="20"/>
        </w:rPr>
        <w:t>. The review outcomes (Zahid et al., 2021; Zahid, 2021) acknowledge these emerging information technologies' potential and suggest inclusion in the ecosystem design.</w:t>
      </w:r>
      <w:r w:rsidR="002B39B4" w:rsidRPr="007C6708">
        <w:rPr>
          <w:rFonts w:asciiTheme="majorBidi" w:hAnsiTheme="majorBidi" w:cstheme="majorBidi"/>
          <w:sz w:val="20"/>
          <w:szCs w:val="20"/>
        </w:rPr>
        <w:t xml:space="preserve"> </w:t>
      </w:r>
      <w:r w:rsidR="00D719F6" w:rsidRPr="007C6708">
        <w:rPr>
          <w:rFonts w:asciiTheme="majorBidi" w:hAnsiTheme="majorBidi" w:cstheme="majorBidi"/>
          <w:sz w:val="20"/>
          <w:szCs w:val="20"/>
        </w:rPr>
        <w:t>More specifically</w:t>
      </w:r>
      <w:r w:rsidR="002B39B4" w:rsidRPr="007C6708">
        <w:rPr>
          <w:rFonts w:asciiTheme="majorBidi" w:hAnsiTheme="majorBidi" w:cstheme="majorBidi"/>
          <w:sz w:val="20"/>
          <w:szCs w:val="20"/>
        </w:rPr>
        <w:t xml:space="preserve">, an extensive review of scholarly and practice-oriented literature was conducted to understand the potential design principles and rules to ensure empathic design and trust in the ecosystem. A total of </w:t>
      </w:r>
      <w:r w:rsidRPr="007C6708">
        <w:rPr>
          <w:rFonts w:asciiTheme="majorBidi" w:hAnsiTheme="majorBidi" w:cstheme="majorBidi"/>
          <w:sz w:val="20"/>
          <w:szCs w:val="20"/>
        </w:rPr>
        <w:t>nine design principles and thirty design rules were identified.</w:t>
      </w:r>
      <w:r w:rsidR="002B39B4" w:rsidRPr="007C6708">
        <w:rPr>
          <w:rFonts w:asciiTheme="majorBidi" w:hAnsiTheme="majorBidi" w:cstheme="majorBidi"/>
          <w:sz w:val="20"/>
          <w:szCs w:val="20"/>
        </w:rPr>
        <w:t xml:space="preserve"> An iterative enhancement approach has been considered to refine and establish a comprehensive and parsimonious set of design principles which address the "what" question </w:t>
      </w:r>
      <w:r w:rsidR="002B39B4" w:rsidRPr="007C6708">
        <w:rPr>
          <w:rFonts w:asciiTheme="majorBidi" w:hAnsiTheme="majorBidi" w:cstheme="majorBidi"/>
          <w:sz w:val="20"/>
          <w:szCs w:val="20"/>
        </w:rPr>
        <w:lastRenderedPageBreak/>
        <w:t xml:space="preserve">of designing </w:t>
      </w:r>
      <w:r w:rsidR="00752787" w:rsidRPr="007C6708">
        <w:rPr>
          <w:rFonts w:asciiTheme="majorBidi" w:hAnsiTheme="majorBidi" w:cstheme="majorBidi"/>
          <w:sz w:val="20"/>
          <w:szCs w:val="20"/>
        </w:rPr>
        <w:t xml:space="preserve">the </w:t>
      </w:r>
      <w:r w:rsidR="002B39B4" w:rsidRPr="007C6708">
        <w:rPr>
          <w:rFonts w:asciiTheme="majorBidi" w:hAnsiTheme="majorBidi" w:cstheme="majorBidi"/>
          <w:sz w:val="20"/>
          <w:szCs w:val="20"/>
        </w:rPr>
        <w:t xml:space="preserve">PHC ecosystem. These principles have spawned the associated design rules that address the "how" question of design artefacts of the ecosystem. </w:t>
      </w:r>
      <w:r w:rsidRPr="007C6708">
        <w:rPr>
          <w:rFonts w:asciiTheme="majorBidi" w:hAnsiTheme="majorBidi" w:cstheme="majorBidi"/>
          <w:sz w:val="20"/>
          <w:szCs w:val="20"/>
        </w:rPr>
        <w:t xml:space="preserve">These design principles and rules </w:t>
      </w:r>
      <w:r w:rsidR="002B39B4" w:rsidRPr="007C6708">
        <w:rPr>
          <w:rFonts w:asciiTheme="majorBidi" w:hAnsiTheme="majorBidi" w:cstheme="majorBidi"/>
          <w:sz w:val="20"/>
          <w:szCs w:val="20"/>
        </w:rPr>
        <w:t>we</w:t>
      </w:r>
      <w:r w:rsidRPr="007C6708">
        <w:rPr>
          <w:rFonts w:asciiTheme="majorBidi" w:hAnsiTheme="majorBidi" w:cstheme="majorBidi"/>
          <w:sz w:val="20"/>
          <w:szCs w:val="20"/>
        </w:rPr>
        <w:t xml:space="preserve">re further presented during the demonstration of </w:t>
      </w:r>
      <w:r w:rsidR="002B39B4" w:rsidRPr="007C6708">
        <w:rPr>
          <w:rFonts w:asciiTheme="majorBidi" w:hAnsiTheme="majorBidi" w:cstheme="majorBidi"/>
          <w:sz w:val="20"/>
          <w:szCs w:val="20"/>
        </w:rPr>
        <w:t>the ecosystem</w:t>
      </w:r>
      <w:r w:rsidRPr="007C6708">
        <w:rPr>
          <w:rFonts w:asciiTheme="majorBidi" w:hAnsiTheme="majorBidi" w:cstheme="majorBidi"/>
          <w:sz w:val="20"/>
          <w:szCs w:val="20"/>
        </w:rPr>
        <w:t xml:space="preserve"> to different healthcare industry clients and actors for refinement and validation.</w:t>
      </w:r>
      <w:r w:rsidR="002B39B4" w:rsidRPr="007C6708">
        <w:rPr>
          <w:rFonts w:asciiTheme="majorBidi" w:hAnsiTheme="majorBidi" w:cstheme="majorBidi"/>
          <w:sz w:val="20"/>
          <w:szCs w:val="20"/>
        </w:rPr>
        <w:t xml:space="preserve"> F</w:t>
      </w:r>
      <w:r w:rsidRPr="007C6708">
        <w:rPr>
          <w:rFonts w:asciiTheme="majorBidi" w:hAnsiTheme="majorBidi" w:cstheme="majorBidi"/>
          <w:sz w:val="20"/>
          <w:szCs w:val="20"/>
        </w:rPr>
        <w:t>igure</w:t>
      </w:r>
      <w:r w:rsidR="002B39B4" w:rsidRPr="007C6708">
        <w:rPr>
          <w:rFonts w:asciiTheme="majorBidi" w:hAnsiTheme="majorBidi" w:cstheme="majorBidi"/>
          <w:sz w:val="20"/>
          <w:szCs w:val="20"/>
        </w:rPr>
        <w:t xml:space="preserve"> </w:t>
      </w:r>
      <w:r w:rsidRPr="007C6708">
        <w:rPr>
          <w:rFonts w:asciiTheme="majorBidi" w:hAnsiTheme="majorBidi" w:cstheme="majorBidi"/>
          <w:sz w:val="20"/>
          <w:szCs w:val="20"/>
        </w:rPr>
        <w:t>1 depicts the system design principles and rules that are applied for the design of the artefacts of the PHC ecosystem</w:t>
      </w:r>
      <w:r w:rsidR="00461EE3" w:rsidRPr="007C6708">
        <w:rPr>
          <w:rFonts w:asciiTheme="majorBidi" w:hAnsiTheme="majorBidi" w:cstheme="majorBidi"/>
          <w:sz w:val="20"/>
          <w:szCs w:val="20"/>
        </w:rPr>
        <w:t>.</w:t>
      </w:r>
    </w:p>
    <w:p w14:paraId="018F9330" w14:textId="77777777" w:rsidR="00752787" w:rsidRPr="007C6708" w:rsidRDefault="00752787" w:rsidP="002B39B4">
      <w:pPr>
        <w:pStyle w:val="NoSpacing"/>
        <w:jc w:val="both"/>
        <w:rPr>
          <w:rFonts w:asciiTheme="majorBidi" w:hAnsiTheme="majorBidi" w:cstheme="majorBidi"/>
          <w:sz w:val="12"/>
          <w:szCs w:val="12"/>
        </w:rPr>
      </w:pPr>
    </w:p>
    <w:p w14:paraId="4A905025" w14:textId="1D5F8937" w:rsidR="00752787" w:rsidRPr="007C6708" w:rsidRDefault="00752787" w:rsidP="002B39B4">
      <w:pPr>
        <w:pStyle w:val="NoSpacing"/>
        <w:jc w:val="both"/>
        <w:rPr>
          <w:rFonts w:asciiTheme="majorBidi" w:hAnsiTheme="majorBidi" w:cstheme="majorBidi"/>
          <w:sz w:val="20"/>
          <w:szCs w:val="20"/>
        </w:rPr>
      </w:pPr>
      <w:r w:rsidRPr="007C6708">
        <w:rPr>
          <w:noProof/>
          <w:sz w:val="24"/>
        </w:rPr>
        <w:drawing>
          <wp:inline distT="0" distB="0" distL="0" distR="0" wp14:anchorId="751FBA6D" wp14:editId="30F6D508">
            <wp:extent cx="6454588" cy="3009900"/>
            <wp:effectExtent l="0" t="0" r="3810" b="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56088" cy="3010600"/>
                    </a:xfrm>
                    <a:prstGeom prst="rect">
                      <a:avLst/>
                    </a:prstGeom>
                    <a:noFill/>
                    <a:ln>
                      <a:noFill/>
                    </a:ln>
                  </pic:spPr>
                </pic:pic>
              </a:graphicData>
            </a:graphic>
          </wp:inline>
        </w:drawing>
      </w:r>
    </w:p>
    <w:p w14:paraId="4756DE21" w14:textId="2B1A632A" w:rsidR="00752787" w:rsidRPr="00752787" w:rsidRDefault="00752787" w:rsidP="00752787">
      <w:pPr>
        <w:spacing w:after="0"/>
        <w:jc w:val="center"/>
        <w:rPr>
          <w:rFonts w:asciiTheme="majorBidi" w:hAnsiTheme="majorBidi" w:cstheme="majorBidi"/>
          <w:sz w:val="20"/>
          <w:szCs w:val="20"/>
        </w:rPr>
      </w:pPr>
      <w:bookmarkStart w:id="1" w:name="_Toc104415845"/>
      <w:r w:rsidRPr="00752787">
        <w:rPr>
          <w:rFonts w:asciiTheme="majorBidi" w:hAnsiTheme="majorBidi" w:cstheme="majorBidi"/>
          <w:sz w:val="20"/>
          <w:szCs w:val="20"/>
        </w:rPr>
        <w:t>Figure1: Fishbone Diagram of System Design Principles and Rules for PH</w:t>
      </w:r>
      <w:r>
        <w:rPr>
          <w:rFonts w:asciiTheme="majorBidi" w:hAnsiTheme="majorBidi" w:cstheme="majorBidi"/>
          <w:sz w:val="20"/>
          <w:szCs w:val="20"/>
        </w:rPr>
        <w:t>C</w:t>
      </w:r>
      <w:r w:rsidRPr="00752787">
        <w:rPr>
          <w:rFonts w:asciiTheme="majorBidi" w:hAnsiTheme="majorBidi" w:cstheme="majorBidi"/>
          <w:sz w:val="20"/>
          <w:szCs w:val="20"/>
        </w:rPr>
        <w:t xml:space="preserve"> Ecosystem.</w:t>
      </w:r>
      <w:bookmarkEnd w:id="1"/>
    </w:p>
    <w:p w14:paraId="456A27B2" w14:textId="77777777" w:rsidR="002B39B4" w:rsidRPr="00142517" w:rsidRDefault="002B39B4" w:rsidP="002B39B4">
      <w:pPr>
        <w:pStyle w:val="NoSpacing"/>
        <w:jc w:val="both"/>
        <w:rPr>
          <w:rFonts w:asciiTheme="majorBidi" w:hAnsiTheme="majorBidi" w:cstheme="majorBidi"/>
          <w:sz w:val="6"/>
          <w:szCs w:val="6"/>
        </w:rPr>
      </w:pPr>
    </w:p>
    <w:p w14:paraId="7A946137" w14:textId="77777777" w:rsidR="00F71EA8" w:rsidRPr="00F71EA8" w:rsidRDefault="00F71EA8" w:rsidP="00F71EA8">
      <w:pPr>
        <w:tabs>
          <w:tab w:val="left" w:pos="945"/>
        </w:tabs>
        <w:spacing w:after="0" w:line="240" w:lineRule="auto"/>
        <w:jc w:val="both"/>
        <w:rPr>
          <w:rFonts w:asciiTheme="majorBidi" w:hAnsiTheme="majorBidi" w:cstheme="majorBidi"/>
          <w:b/>
          <w:bCs/>
          <w:i/>
          <w:iCs/>
          <w:sz w:val="20"/>
          <w:szCs w:val="20"/>
        </w:rPr>
      </w:pPr>
      <w:r w:rsidRPr="00F71EA8">
        <w:rPr>
          <w:rFonts w:asciiTheme="majorBidi" w:hAnsiTheme="majorBidi" w:cstheme="majorBidi"/>
          <w:b/>
          <w:bCs/>
          <w:i/>
          <w:iCs/>
          <w:sz w:val="20"/>
          <w:szCs w:val="20"/>
        </w:rPr>
        <w:t>User-Centricity</w:t>
      </w:r>
    </w:p>
    <w:p w14:paraId="263285BA" w14:textId="38E6DEC4" w:rsidR="00F71EA8" w:rsidRPr="00F71EA8" w:rsidRDefault="00752787" w:rsidP="00142517">
      <w:pPr>
        <w:spacing w:line="240" w:lineRule="auto"/>
        <w:jc w:val="both"/>
        <w:rPr>
          <w:rFonts w:asciiTheme="majorBidi" w:hAnsiTheme="majorBidi" w:cstheme="majorBidi"/>
          <w:sz w:val="20"/>
          <w:szCs w:val="20"/>
        </w:rPr>
      </w:pPr>
      <w:r>
        <w:rPr>
          <w:rFonts w:asciiTheme="majorBidi" w:hAnsiTheme="majorBidi" w:cstheme="majorBidi"/>
          <w:sz w:val="20"/>
          <w:szCs w:val="20"/>
        </w:rPr>
        <w:t>For a data-driven healthcare service like PHC, u</w:t>
      </w:r>
      <w:r w:rsidR="00F71EA8" w:rsidRPr="00F71EA8">
        <w:rPr>
          <w:rFonts w:asciiTheme="majorBidi" w:hAnsiTheme="majorBidi" w:cstheme="majorBidi"/>
          <w:sz w:val="20"/>
          <w:szCs w:val="20"/>
        </w:rPr>
        <w:t>ser</w:t>
      </w:r>
      <w:r>
        <w:rPr>
          <w:rFonts w:asciiTheme="majorBidi" w:hAnsiTheme="majorBidi" w:cstheme="majorBidi"/>
          <w:sz w:val="20"/>
          <w:szCs w:val="20"/>
        </w:rPr>
        <w:t>-</w:t>
      </w:r>
      <w:r w:rsidR="00F71EA8" w:rsidRPr="00F71EA8">
        <w:rPr>
          <w:rFonts w:asciiTheme="majorBidi" w:hAnsiTheme="majorBidi" w:cstheme="majorBidi"/>
          <w:sz w:val="20"/>
          <w:szCs w:val="20"/>
        </w:rPr>
        <w:t xml:space="preserve">centricity is </w:t>
      </w:r>
      <w:r>
        <w:rPr>
          <w:rFonts w:asciiTheme="majorBidi" w:hAnsiTheme="majorBidi" w:cstheme="majorBidi"/>
          <w:sz w:val="20"/>
          <w:szCs w:val="20"/>
        </w:rPr>
        <w:t>significant</w:t>
      </w:r>
      <w:r w:rsidR="00F71EA8" w:rsidRPr="00F71EA8">
        <w:rPr>
          <w:rFonts w:asciiTheme="majorBidi" w:hAnsiTheme="majorBidi" w:cstheme="majorBidi"/>
          <w:sz w:val="20"/>
          <w:szCs w:val="20"/>
        </w:rPr>
        <w:t xml:space="preserve"> for </w:t>
      </w:r>
      <w:r>
        <w:rPr>
          <w:rFonts w:asciiTheme="majorBidi" w:hAnsiTheme="majorBidi" w:cstheme="majorBidi"/>
          <w:sz w:val="20"/>
          <w:szCs w:val="20"/>
        </w:rPr>
        <w:t>success</w:t>
      </w:r>
      <w:r w:rsidR="00F71EA8" w:rsidRPr="00F71EA8">
        <w:rPr>
          <w:rFonts w:asciiTheme="majorBidi" w:hAnsiTheme="majorBidi" w:cstheme="majorBidi"/>
          <w:sz w:val="20"/>
          <w:szCs w:val="20"/>
        </w:rPr>
        <w:t xml:space="preserve">. </w:t>
      </w:r>
      <w:r>
        <w:rPr>
          <w:rFonts w:asciiTheme="majorBidi" w:hAnsiTheme="majorBidi" w:cstheme="majorBidi"/>
          <w:sz w:val="20"/>
          <w:szCs w:val="20"/>
        </w:rPr>
        <w:t>Therefore, health policymakers must establish a user-centric system design guideline to ensure active user engagement and</w:t>
      </w:r>
      <w:r w:rsidR="00F71EA8" w:rsidRPr="00F71EA8">
        <w:rPr>
          <w:rFonts w:asciiTheme="majorBidi" w:hAnsiTheme="majorBidi" w:cstheme="majorBidi"/>
          <w:sz w:val="20"/>
          <w:szCs w:val="20"/>
        </w:rPr>
        <w:t xml:space="preserve"> success. </w:t>
      </w:r>
      <w:r>
        <w:rPr>
          <w:rFonts w:asciiTheme="majorBidi" w:hAnsiTheme="majorBidi" w:cstheme="majorBidi"/>
          <w:sz w:val="20"/>
          <w:szCs w:val="20"/>
        </w:rPr>
        <w:t>PHC</w:t>
      </w:r>
      <w:r w:rsidR="00F71EA8" w:rsidRPr="00F71EA8">
        <w:rPr>
          <w:rFonts w:asciiTheme="majorBidi" w:hAnsiTheme="majorBidi" w:cstheme="majorBidi"/>
          <w:sz w:val="20"/>
          <w:szCs w:val="20"/>
        </w:rPr>
        <w:t xml:space="preserve"> service should be intuitive and straightforward to </w:t>
      </w:r>
      <w:r>
        <w:rPr>
          <w:rFonts w:asciiTheme="majorBidi" w:hAnsiTheme="majorBidi" w:cstheme="majorBidi"/>
          <w:sz w:val="20"/>
          <w:szCs w:val="20"/>
        </w:rPr>
        <w:t>ensure</w:t>
      </w:r>
      <w:r w:rsidR="00F71EA8" w:rsidRPr="00F71EA8">
        <w:rPr>
          <w:rFonts w:asciiTheme="majorBidi" w:hAnsiTheme="majorBidi" w:cstheme="majorBidi"/>
          <w:sz w:val="20"/>
          <w:szCs w:val="20"/>
        </w:rPr>
        <w:t xml:space="preserve"> user-centricity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{"citationID":"zbOu0akY","properties":{"formattedCitation":"({\\i{}Digital Health: Heaven or Hell?}, 2016; Labrique et al., 2018; Nath &amp; Sharp, 2015)","plainCitation":"(Digital Health: Heaven or Hell?, 2016; Labrique et al., 2018; Nath &amp; Sharp, 2015)","dontUpdate":true,"noteIndex":0},"citationItems":[{"id":237,"uris":["http://zotero.org/users/5664472/items/2S66LH74"],"itemData":{"id":237,"type":"report","language":"en","page":"36","source":"Zotero","title":"Digital health: heaven or hell?","issued":{"date-parts":[["2016"]]}}},{"id":1151,"uris":["http://zotero.org/users/5664472/items/8TLH9BVZ"],"itemData":{"id":1151,"type":"article-journal","container-title":"JAMA internal medicine","DOI":"10.1001/jamainternmed.2015.2907","ISSN":"2168-6114","issue":"9","journalAbbreviation":"JAMA Intern Med","language":"eng","note":"PMID: 26147128","page":"1498-1499","source":"PubMed","title":"A User-Centered Design Approach to Information Sharing for Older Patients and Their Families","volume":"175","author":[{"family":"Nath","given":"Pravene A."},{"family":"Sharp","given":"Christopher D."}],"issued":{"date-parts":[["2015",9]]}}},{"id":170,"uris":["http://zotero.org/users/5664472/items/IDUENHIJ"],"itemData":{"id":170,"type":"article-journal","abstract":"Healthcare challenges in low and middle income countries (LMICs) have been the focus of many digital initiatives that have aimed to improve both access to healthcare and the quality of healthcare delivery. Moving beyond the initial phase of piloting and experimentation, these initiatives are now more clearly focused on the need for effective scaling and integration to provide sustainable benefit to healthcare systems.","container-title":"Globalization and Health","DOI":"10.1186/s12992-018-0424-z","ISSN":"1744-8603","issue":"1","language":"en","page":"103","source":"DOI.org (Crossref)","title":"Best practices in scaling digital health in low and middle income countries","volume":"14","author":[{"family":"Labrique","given":"Alain B."},{"family":"Wadhwani","given":"Christina"},{"family":"Williams","given":"Koku Awoonor"},{"family":"Lamptey","given":"Peter"},{"family":"Hesp","given":"Cees"},{"family":"Luk","given":"Rowena"},{"family":"Aerts","given":"Ann"}],"issued":{"date-parts":[["2018",12]]}}}],"schema":"https://github.com/citation-style-language/schema/raw/master/csl-citation.json"}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(Labrique et al., 2018; Nath &amp; Sharp, 2015)</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It should </w:t>
      </w:r>
      <w:r>
        <w:rPr>
          <w:rFonts w:asciiTheme="majorBidi" w:hAnsiTheme="majorBidi" w:cstheme="majorBidi"/>
          <w:sz w:val="20"/>
          <w:szCs w:val="20"/>
        </w:rPr>
        <w:t>include</w:t>
      </w:r>
      <w:r w:rsidR="00F71EA8" w:rsidRPr="00F71EA8">
        <w:rPr>
          <w:rFonts w:asciiTheme="majorBidi" w:hAnsiTheme="majorBidi" w:cstheme="majorBidi"/>
          <w:sz w:val="20"/>
          <w:szCs w:val="20"/>
        </w:rPr>
        <w:t xml:space="preserve"> </w:t>
      </w:r>
      <w:r>
        <w:rPr>
          <w:rFonts w:asciiTheme="majorBidi" w:hAnsiTheme="majorBidi" w:cstheme="majorBidi"/>
          <w:sz w:val="20"/>
          <w:szCs w:val="20"/>
        </w:rPr>
        <w:t>various</w:t>
      </w:r>
      <w:r w:rsidR="00F71EA8" w:rsidRPr="00F71EA8">
        <w:rPr>
          <w:rFonts w:asciiTheme="majorBidi" w:hAnsiTheme="majorBidi" w:cstheme="majorBidi"/>
          <w:sz w:val="20"/>
          <w:szCs w:val="20"/>
        </w:rPr>
        <w:t xml:space="preserve"> </w:t>
      </w:r>
      <w:r>
        <w:rPr>
          <w:rFonts w:asciiTheme="majorBidi" w:hAnsiTheme="majorBidi" w:cstheme="majorBidi"/>
          <w:sz w:val="20"/>
          <w:szCs w:val="20"/>
        </w:rPr>
        <w:t>social</w:t>
      </w:r>
      <w:r w:rsidR="00F71EA8" w:rsidRPr="00F71EA8">
        <w:rPr>
          <w:rFonts w:asciiTheme="majorBidi" w:hAnsiTheme="majorBidi" w:cstheme="majorBidi"/>
          <w:sz w:val="20"/>
          <w:szCs w:val="20"/>
        </w:rPr>
        <w:t xml:space="preserve"> aspects (traditions,</w:t>
      </w:r>
      <w:r>
        <w:rPr>
          <w:rFonts w:asciiTheme="majorBidi" w:hAnsiTheme="majorBidi" w:cstheme="majorBidi"/>
          <w:sz w:val="20"/>
          <w:szCs w:val="20"/>
        </w:rPr>
        <w:t xml:space="preserve"> </w:t>
      </w:r>
      <w:r w:rsidRPr="00F71EA8">
        <w:rPr>
          <w:rFonts w:asciiTheme="majorBidi" w:hAnsiTheme="majorBidi" w:cstheme="majorBidi"/>
          <w:sz w:val="20"/>
          <w:szCs w:val="20"/>
        </w:rPr>
        <w:t xml:space="preserve">values, </w:t>
      </w:r>
      <w:r w:rsidR="00F71EA8" w:rsidRPr="00F71EA8">
        <w:rPr>
          <w:rFonts w:asciiTheme="majorBidi" w:hAnsiTheme="majorBidi" w:cstheme="majorBidi"/>
          <w:sz w:val="20"/>
          <w:szCs w:val="20"/>
        </w:rPr>
        <w:t xml:space="preserve"> translation, environment) while designing services and interventions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{"citationID":"YSgBDQJl","properties":{"formattedCitation":"(Marwaha &amp; Kvedar, 2021)","plainCitation":"(Marwaha &amp; Kvedar, 2021)","noteIndex":0},"citationItems":[{"id":1551,"uris":["http://zotero.org/users/5664472/items/DNT297UX"],"itemData":{"id":1551,"type":"article-journal","abstract":"Abstract\n            Relatively little is known about how to make digital health tools accessible to different populations from a cultural standpoint. Alignment with cultural values and communication styles may affect these tools’ ability to diagnose and treat various conditions. In this Editorial, we highlight the findings of recent work to make digital tools for mental health more culturally accessible, and propose ways to advance this area of study.","container-title":"npj Digital Medicine","DOI":"10.1038/s41746-021-00516-2","ISSN":"2398-6352","issue":"1","journalAbbreviation":"npj Digit. Med.","language":"en","page":"143, s41746-021-00516-2","source":"DOI.org (Crossref)","title":"Cultural adaptation: a framework for addressing an often-overlooked dimension of digital health accessibility","title-short":"Cultural adaptation","volume":"4","author":[{"family":"Marwaha","given":"Jayson S."},{"family":"Kvedar","given":"Joseph C."}],"issued":{"date-parts":[["2021",12]]}}}],"schema":"https://github.com/citation-style-language/schema/raw/master/csl-citation.json"}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(Marwaha &amp; Kvedar, 2021)</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Moreover, </w:t>
      </w:r>
      <w:r>
        <w:rPr>
          <w:rFonts w:asciiTheme="majorBidi" w:hAnsiTheme="majorBidi" w:cstheme="majorBidi"/>
          <w:sz w:val="20"/>
          <w:szCs w:val="20"/>
        </w:rPr>
        <w:t>it</w:t>
      </w:r>
      <w:r w:rsidR="00F71EA8" w:rsidRPr="00F71EA8">
        <w:rPr>
          <w:rFonts w:asciiTheme="majorBidi" w:hAnsiTheme="majorBidi" w:cstheme="majorBidi"/>
          <w:sz w:val="20"/>
          <w:szCs w:val="20"/>
        </w:rPr>
        <w:t xml:space="preserve"> should </w:t>
      </w:r>
      <w:r>
        <w:rPr>
          <w:rFonts w:asciiTheme="majorBidi" w:hAnsiTheme="majorBidi" w:cstheme="majorBidi"/>
          <w:sz w:val="20"/>
          <w:szCs w:val="20"/>
        </w:rPr>
        <w:t>complement</w:t>
      </w:r>
      <w:r w:rsidR="00F71EA8" w:rsidRPr="00F71EA8">
        <w:rPr>
          <w:rFonts w:asciiTheme="majorBidi" w:hAnsiTheme="majorBidi" w:cstheme="majorBidi"/>
          <w:sz w:val="20"/>
          <w:szCs w:val="20"/>
        </w:rPr>
        <w:t xml:space="preserve"> </w:t>
      </w:r>
      <w:r>
        <w:rPr>
          <w:rFonts w:asciiTheme="majorBidi" w:hAnsiTheme="majorBidi" w:cstheme="majorBidi"/>
          <w:sz w:val="20"/>
          <w:szCs w:val="20"/>
        </w:rPr>
        <w:t>the</w:t>
      </w:r>
      <w:r w:rsidR="00F71EA8" w:rsidRPr="00F71EA8">
        <w:rPr>
          <w:rFonts w:asciiTheme="majorBidi" w:hAnsiTheme="majorBidi" w:cstheme="majorBidi"/>
          <w:sz w:val="20"/>
          <w:szCs w:val="20"/>
        </w:rPr>
        <w:t xml:space="preserve"> practical, </w:t>
      </w:r>
      <w:r>
        <w:rPr>
          <w:rFonts w:asciiTheme="majorBidi" w:hAnsiTheme="majorBidi" w:cstheme="majorBidi"/>
          <w:sz w:val="20"/>
          <w:szCs w:val="20"/>
        </w:rPr>
        <w:t xml:space="preserve">emotional, and </w:t>
      </w:r>
      <w:r w:rsidR="00F71EA8" w:rsidRPr="00F71EA8">
        <w:rPr>
          <w:rFonts w:asciiTheme="majorBidi" w:hAnsiTheme="majorBidi" w:cstheme="majorBidi"/>
          <w:sz w:val="20"/>
          <w:szCs w:val="20"/>
        </w:rPr>
        <w:t>clinical needs</w:t>
      </w:r>
      <w:r>
        <w:rPr>
          <w:rFonts w:asciiTheme="majorBidi" w:hAnsiTheme="majorBidi" w:cstheme="majorBidi"/>
          <w:sz w:val="20"/>
          <w:szCs w:val="20"/>
        </w:rPr>
        <w:t xml:space="preserve"> of the patient and other healthcare actors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{"citationID":"dp9xpHTe","properties":{"formattedCitation":"({\\i{}UK Department of Health &amp; Social Care}, 2019; Cresswell et al., 2013; {\\i{}Digital Health: Heaven or Hell?}, 2016; Imison et al., 2016; {\\i{}Principles for Digital Development Working Group}, 2016d; Stickdorn &amp; Schneider, 2012)","plainCitation":"(UK Department of Health &amp; Social Care, 2019; Cresswell et al., 2013; Digital Health: Heaven or Hell?, 2016; Imison et al., 2016; Principles for Digital Development Working Group, 2016d; Stickdorn &amp; Schneider, 2012)","dontUpdate":true,"noteIndex":0},"citationItems":[{"id":237,"uris":["http://zotero.org/users/5664472/items/2S66LH74"],"itemData":{"id":237,"type":"report","language":"en","page":"36","source":"Zotero","title":"Digital health: heaven or hell?","issued":{"date-parts":[["2016"]]}}},{"id":1152,"uris":["http://zotero.org/users/5664472/items/PU29TJZK"],"itemData":{"id":1152,"type":"article-journal","abstract":"The implementation of health information technology interventions is at the forefront of most policy agendas internationally. However, such undertakings are often far from straightforward as they require complex strategic planning accompanying the systemic organizational changes associated with such programs. Building on our experiences of designing and evaluating the implementation of large-scale health information technology interventions in the USA and the UK, we highlight key lessons learned in the hope of informing the on-going international efforts of policymakers, health directorates, healthcare management, and senior clinicians.","container-title":"Journal of the American Medical Informatics Association: JAMIA","DOI":"10.1136/amiajnl-2013-001684","ISSN":"1527-974X","issue":"e1","journalAbbreviation":"J Am Med Inform Assoc","language":"eng","note":"PMID: 23599226\nPMCID: PMC3715363","page":"e9-e13","source":"PubMed","title":"Ten key considerations for the successful implementation and adoption of large-scale health information technology","volume":"20","author":[{"family":"Cresswell","given":"Kathrin M."},{"family":"Bates","given":"David W."},{"family":"Sheikh","given":"Aziz"}],"issued":{"date-parts":[["2013",6]]}}},{"id":1387,"uris":["http://zotero.org/users/5664472/items/5A4QZDLX"],"itemData":{"id":1387,"type":"document","language":"English","publisher":"UK Department of Health &amp; Social Care","title":"Code of Conduct for Data-Driven Health and Care Technology","title-short":"UK Department of Health &amp; Social Care","URL":"https://www.gov.uk/government/publications/code-of-conduct-for-data-driven-health-and-care-technology/initial-code-of-conduct-for-data-driven-health-and-care-technology#principle-6-be-transparent-about-the-limitations-of-the-data-used","accessed":{"date-parts":[["2020",8,11]]},"issued":{"date-parts":[["2019",7,18]]}}},{"id":1097,"uris":["http://zotero.org/users/5664472/items/RX3S5W54"],"itemData":{"id":1097,"type":"document","language":"English","publisher":"Principles for Digital Development Working Group","title":"Principle: Design with the User","title-short":"Principles for Digital Development Working Group","URL":"https://digitalprinciples.org/principle/design-with-the-user/","issued":{"date-parts":[["2016"]]}}},{"id":1119,"uris":["http://zotero.org/users/5664472/items/5KTEB6LB"],"itemData":{"id":1119,"type":"report","event-place":"London","language":"en","page":"108","publisher":"Nuffield Trust","publisher-place":"London","source":"Zotero","title":"Delivering the Benefits of Digital Health Care","URL":"https://www.nuffieldtrust.org.uk/research/delivering-the-benefits-of-digital-health-care","author":[{"family":"Imison","given":"Candace"},{"family":"Castle-Clarke","given":"Sophie"},{"family":"Watson","given":"Robert"},{"family":"Edwards","given":"Nigel"}],"issued":{"date-parts":[["2016"]]}}},{"id":1141,"uris":["http://zotero.org/users/5664472/items/KUGY62WB"],"itemData":{"id":1141,"type":"book","abstract":"How to design and market services to create outstanding customer experiences Service design thinking is the designing and marketing of services that improve the customer experience, and the interactions between the service providers and the customers. If you have two coffee shops right next to each other, and each sell the exact same coffee at the exact same price, service design is what makes you walk into one and not the other. Maybe one plays music and the other doesn't. Maybe one takes credit cards and the other is cash only. Maybe you like the layout of one over the other, or one has more comfortable seating. Maybe the staff at one is friendlier, or draws fun shapes on the top of their lattes. All of these nuances relate to service design. This Is Service Design Thinking combines the knowledge of twenty-three international authors and even more online contributors from the global service design community and is divided into three sections:  Basics: outlines service design thinking along five basic principles Tools: describing a variety of tools and methods used in Service Design Thinking Cases: vivid examples for the introduced fundamentals with real-life case studies from 5 companies that did inspiring projects within the field of Service Design  At the end, a one-page \"Customer Journey Canvas\" is included, which can be used to quickly sketch any service on a single sheet of paper―capturing different stakeholder concerns: e.g. customers, front-line staff and management.","edition":"1 edition","event-place":"Hoboken, New Jersey","ISBN":"978-1-118-15630-8","language":"English","number-of-pages":"384","publisher":"Wiley","publisher-place":"Hoboken, New Jersey","source":"Amazon","title":"This is Service Design Thinking: Basics, Tools, Cases","title-short":"This is Service Design Thinking","author":[{"family":"Stickdorn","given":"Marc"},{"family":"Schneider","given":"Jakob"}],"issued":{"date-parts":[["2012",1,11]]}}}],"schema":"https://github.com/citation-style-language/schema/raw/master/csl-citation.json"}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UK Department of Health &amp; Social Care</w:t>
      </w:r>
      <w:r w:rsidR="00142517" w:rsidRPr="00142517">
        <w:rPr>
          <w:rFonts w:ascii="Times New Roman" w:hAnsi="Times New Roman" w:cs="Times New Roman"/>
          <w:sz w:val="20"/>
          <w:szCs w:val="24"/>
        </w:rPr>
        <w:t xml:space="preserve">, 2019; Cresswell et al., 2013; Imison et al., 2016; </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2016d; Stickdorn &amp; Schneider, 2012)</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Communications between </w:t>
      </w:r>
      <w:r>
        <w:rPr>
          <w:rFonts w:asciiTheme="majorBidi" w:hAnsiTheme="majorBidi" w:cstheme="majorBidi"/>
          <w:sz w:val="20"/>
          <w:szCs w:val="20"/>
        </w:rPr>
        <w:t xml:space="preserve">patients and </w:t>
      </w:r>
      <w:r w:rsidR="00F71EA8" w:rsidRPr="00F71EA8">
        <w:rPr>
          <w:rFonts w:asciiTheme="majorBidi" w:hAnsiTheme="majorBidi" w:cstheme="majorBidi"/>
          <w:sz w:val="20"/>
          <w:szCs w:val="20"/>
        </w:rPr>
        <w:t xml:space="preserve">different </w:t>
      </w:r>
      <w:r>
        <w:rPr>
          <w:rFonts w:asciiTheme="majorBidi" w:hAnsiTheme="majorBidi" w:cstheme="majorBidi"/>
          <w:sz w:val="20"/>
          <w:szCs w:val="20"/>
        </w:rPr>
        <w:t xml:space="preserve">healthcare actors </w:t>
      </w:r>
      <w:r w:rsidR="00F71EA8" w:rsidRPr="00F71EA8">
        <w:rPr>
          <w:rFonts w:asciiTheme="majorBidi" w:hAnsiTheme="majorBidi" w:cstheme="majorBidi"/>
          <w:sz w:val="20"/>
          <w:szCs w:val="20"/>
        </w:rPr>
        <w:t xml:space="preserve">through </w:t>
      </w:r>
      <w:r>
        <w:rPr>
          <w:rFonts w:asciiTheme="majorBidi" w:hAnsiTheme="majorBidi" w:cstheme="majorBidi"/>
          <w:sz w:val="20"/>
          <w:szCs w:val="20"/>
        </w:rPr>
        <w:t>PHC service</w:t>
      </w:r>
      <w:r w:rsidR="00F71EA8" w:rsidRPr="00F71EA8">
        <w:rPr>
          <w:rFonts w:asciiTheme="majorBidi" w:hAnsiTheme="majorBidi" w:cstheme="majorBidi"/>
          <w:sz w:val="20"/>
          <w:szCs w:val="20"/>
        </w:rPr>
        <w:t xml:space="preserve"> should be </w:t>
      </w:r>
      <w:r w:rsidRPr="00F71EA8">
        <w:rPr>
          <w:rFonts w:asciiTheme="majorBidi" w:hAnsiTheme="majorBidi" w:cstheme="majorBidi"/>
          <w:sz w:val="20"/>
          <w:szCs w:val="20"/>
        </w:rPr>
        <w:t>succinct</w:t>
      </w:r>
      <w:r w:rsidR="00F71EA8" w:rsidRPr="00F71EA8">
        <w:rPr>
          <w:rFonts w:asciiTheme="majorBidi" w:hAnsiTheme="majorBidi" w:cstheme="majorBidi"/>
          <w:sz w:val="20"/>
          <w:szCs w:val="20"/>
        </w:rPr>
        <w:t xml:space="preserve">, </w:t>
      </w:r>
      <w:r>
        <w:rPr>
          <w:rFonts w:asciiTheme="majorBidi" w:hAnsiTheme="majorBidi" w:cstheme="majorBidi"/>
          <w:sz w:val="20"/>
          <w:szCs w:val="20"/>
        </w:rPr>
        <w:t>maintaining</w:t>
      </w:r>
      <w:r w:rsidR="00F71EA8" w:rsidRPr="00F71EA8">
        <w:rPr>
          <w:rFonts w:asciiTheme="majorBidi" w:hAnsiTheme="majorBidi" w:cstheme="majorBidi"/>
          <w:sz w:val="20"/>
          <w:szCs w:val="20"/>
        </w:rPr>
        <w:t xml:space="preserve"> minimal essential information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{"citationID":"TjGQeuJ7","properties":{"formattedCitation":"(Jackson et al., 2018; Phillips et al., 2015)","plainCitation":"(Jackson et al., 2018; Phillips et al., 2015)","noteIndex":0},"citationItems":[{"id":1156,"uris":["http://zotero.org/users/5664472/items/LINBM3ZG"],"itemData":{"id":1156,"type":"article-journal","container-title":"Bulletin of the World Health Organization","DOI":"10.2471/BLT.18.213090","ISSN":"0042-9686","issue":"12","journalAbbreviation":"Bull. World Health Organ.","language":"en","page":"861-863","source":"DOI.org (Crossref)","title":"Civil registration and vital statistics in health systems","volume":"96","author":[{"family":"Jackson","given":"Debra"},{"family":"Wenz","given":"Kristen"},{"family":"Muniz","given":"Maria"},{"family":"Abouzahr","given":"Carla"},{"family":"Schmider","given":"Anneke"},{"family":"Braschi","given":"Martin W."},{"family":"Kassam","given":"Nadya"},{"family":"Diaz","given":"Theresa"},{"family":"Mwamba","given":"Remy"},{"family":"Setel","given":"Philip"},{"family":"Mills","given":"Samuel"}],"issued":{"date-parts":[["2018",12,1]]}}},{"id":1155,"uris":["http://zotero.org/users/5664472/items/JCEM7FLE"],"itemData":{"id":1155,"type":"article-journal","abstract":"In this Series paper, we examine whether well functioning civil registration and vital statistics (CRVS) systems are associated with improved population health outcomes. We present a conceptual model connecting CRVS to wellbeing, and describe an ecological association between CRVS and health outcomes. The conceptual model posits that the legal identity that civil registration provides to individuals is key to access entitlements and services. Vital statistics produced by CRVS systems provide essential information for public health policy and prevention. These outcomes benefit individuals and societies, including improved health. We use marginal linear models and lag-lead analysis to measure ecological associations between a composite metric of CRVS performance and three health outcomes. Results are consistent with the conceptual model: improved CRVS performance coincides with improved health outcomes worldwide in a temporally consistent manner. Investment to strengthen CRVS systems is not only an important goal for individuals and societies, but also a development imperative that is good for health.","container-title":"Lancet (London, England)","DOI":"10.1016/S0140-6736(15)60172-6","ISSN":"1474-547X","issue":"10001","journalAbbreviation":"Lancet","language":"eng","note":"PMID: 25971222","page":"1386-1394","source":"PubMed","title":"Are well functioning civil registration and vital statistics systems associated with better health outcomes?","volume":"386","author":[{"family":"Phillips","given":"David E."},{"family":"AbouZahr","given":"Carla"},{"family":"Lopez","given":"Alan D."},{"family":"Mikkelsen","given":"Lene"},{"family":"Savigny","given":"Don","non-dropping-particle":"de"},{"family":"Lozano","given":"Rafael"},{"family":"Wilmoth","given":"John"},{"family":"Setel","given":"Philip W."}],"issued":{"date-parts":[["2015",10,3]]}}}],"schema":"https://github.com/citation-style-language/schema/raw/master/csl-citation.json"}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(Jackson et al., 2018; Phillips et al., 2015)</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Furthermore, besides computers, </w:t>
      </w:r>
      <w:r>
        <w:rPr>
          <w:rFonts w:asciiTheme="majorBidi" w:hAnsiTheme="majorBidi" w:cstheme="majorBidi"/>
          <w:sz w:val="20"/>
          <w:szCs w:val="20"/>
        </w:rPr>
        <w:t>PHC service</w:t>
      </w:r>
      <w:r w:rsidR="00F71EA8" w:rsidRPr="00F71EA8">
        <w:rPr>
          <w:rFonts w:asciiTheme="majorBidi" w:hAnsiTheme="majorBidi" w:cstheme="majorBidi"/>
          <w:sz w:val="20"/>
          <w:szCs w:val="20"/>
        </w:rPr>
        <w:t xml:space="preserve"> should be </w:t>
      </w:r>
      <w:r>
        <w:rPr>
          <w:rFonts w:asciiTheme="majorBidi" w:hAnsiTheme="majorBidi" w:cstheme="majorBidi"/>
          <w:sz w:val="20"/>
          <w:szCs w:val="20"/>
        </w:rPr>
        <w:t>compatible</w:t>
      </w:r>
      <w:r w:rsidR="00F71EA8" w:rsidRPr="00F71EA8">
        <w:rPr>
          <w:rFonts w:asciiTheme="majorBidi" w:hAnsiTheme="majorBidi" w:cstheme="majorBidi"/>
          <w:sz w:val="20"/>
          <w:szCs w:val="20"/>
        </w:rPr>
        <w:t xml:space="preserve"> </w:t>
      </w:r>
      <w:r>
        <w:rPr>
          <w:rFonts w:asciiTheme="majorBidi" w:hAnsiTheme="majorBidi" w:cstheme="majorBidi"/>
          <w:sz w:val="20"/>
          <w:szCs w:val="20"/>
        </w:rPr>
        <w:t>wit</w:t>
      </w:r>
      <w:r w:rsidR="00F71EA8" w:rsidRPr="00F71EA8">
        <w:rPr>
          <w:rFonts w:asciiTheme="majorBidi" w:hAnsiTheme="majorBidi" w:cstheme="majorBidi"/>
          <w:sz w:val="20"/>
          <w:szCs w:val="20"/>
        </w:rPr>
        <w:t>h smart gadgets such as notebooks,</w:t>
      </w:r>
      <w:r>
        <w:rPr>
          <w:rFonts w:asciiTheme="majorBidi" w:hAnsiTheme="majorBidi" w:cstheme="majorBidi"/>
          <w:sz w:val="20"/>
          <w:szCs w:val="20"/>
        </w:rPr>
        <w:t xml:space="preserve"> </w:t>
      </w:r>
      <w:r w:rsidRPr="00F71EA8">
        <w:rPr>
          <w:rFonts w:asciiTheme="majorBidi" w:hAnsiTheme="majorBidi" w:cstheme="majorBidi"/>
          <w:sz w:val="20"/>
          <w:szCs w:val="20"/>
        </w:rPr>
        <w:t xml:space="preserve">smartphones, </w:t>
      </w:r>
      <w:r>
        <w:rPr>
          <w:rFonts w:asciiTheme="majorBidi" w:hAnsiTheme="majorBidi" w:cstheme="majorBidi"/>
          <w:sz w:val="20"/>
          <w:szCs w:val="20"/>
        </w:rPr>
        <w:t>and</w:t>
      </w:r>
      <w:r w:rsidR="00F71EA8" w:rsidRPr="00F71EA8">
        <w:rPr>
          <w:rFonts w:asciiTheme="majorBidi" w:hAnsiTheme="majorBidi" w:cstheme="majorBidi"/>
          <w:sz w:val="20"/>
          <w:szCs w:val="20"/>
        </w:rPr>
        <w:t xml:space="preserve"> tablets. </w:t>
      </w:r>
      <w:r>
        <w:rPr>
          <w:rFonts w:asciiTheme="majorBidi" w:hAnsiTheme="majorBidi" w:cstheme="majorBidi"/>
          <w:sz w:val="20"/>
          <w:szCs w:val="20"/>
        </w:rPr>
        <w:t>It will potentially enrich</w:t>
      </w:r>
      <w:r w:rsidR="00F71EA8" w:rsidRPr="00F71EA8">
        <w:rPr>
          <w:rFonts w:asciiTheme="majorBidi" w:hAnsiTheme="majorBidi" w:cstheme="majorBidi"/>
          <w:sz w:val="20"/>
          <w:szCs w:val="20"/>
        </w:rPr>
        <w:t xml:space="preserve"> health equity in remote </w:t>
      </w:r>
      <w:r>
        <w:rPr>
          <w:rFonts w:asciiTheme="majorBidi" w:hAnsiTheme="majorBidi" w:cstheme="majorBidi"/>
          <w:sz w:val="20"/>
          <w:szCs w:val="20"/>
        </w:rPr>
        <w:t xml:space="preserve">settings. </w:t>
      </w:r>
      <w:r w:rsidR="00F71EA8" w:rsidRPr="00F71EA8">
        <w:rPr>
          <w:rFonts w:asciiTheme="majorBidi" w:hAnsiTheme="majorBidi" w:cstheme="majorBidi"/>
          <w:sz w:val="20"/>
          <w:szCs w:val="20"/>
        </w:rPr>
        <w:t xml:space="preserve">Lastly, </w:t>
      </w:r>
      <w:r>
        <w:rPr>
          <w:rFonts w:asciiTheme="majorBidi" w:hAnsiTheme="majorBidi" w:cstheme="majorBidi"/>
          <w:sz w:val="20"/>
          <w:szCs w:val="20"/>
        </w:rPr>
        <w:t>PHC</w:t>
      </w:r>
      <w:r w:rsidR="00F71EA8" w:rsidRPr="00F71EA8">
        <w:rPr>
          <w:rFonts w:asciiTheme="majorBidi" w:hAnsiTheme="majorBidi" w:cstheme="majorBidi"/>
          <w:sz w:val="20"/>
          <w:szCs w:val="20"/>
        </w:rPr>
        <w:t xml:space="preserve"> service should </w:t>
      </w:r>
      <w:r>
        <w:rPr>
          <w:rFonts w:asciiTheme="majorBidi" w:hAnsiTheme="majorBidi" w:cstheme="majorBidi"/>
          <w:sz w:val="20"/>
          <w:szCs w:val="20"/>
        </w:rPr>
        <w:t xml:space="preserve">incorporate </w:t>
      </w:r>
      <w:r w:rsidR="00F71EA8" w:rsidRPr="00F71EA8">
        <w:rPr>
          <w:rFonts w:asciiTheme="majorBidi" w:hAnsiTheme="majorBidi" w:cstheme="majorBidi"/>
          <w:sz w:val="20"/>
          <w:szCs w:val="20"/>
        </w:rPr>
        <w:t>a</w:t>
      </w:r>
      <w:r>
        <w:rPr>
          <w:rFonts w:asciiTheme="majorBidi" w:hAnsiTheme="majorBidi" w:cstheme="majorBidi"/>
          <w:sz w:val="20"/>
          <w:szCs w:val="20"/>
        </w:rPr>
        <w:t xml:space="preserve"> functional</w:t>
      </w:r>
      <w:r w:rsidR="00F71EA8" w:rsidRPr="00F71EA8">
        <w:rPr>
          <w:rFonts w:asciiTheme="majorBidi" w:hAnsiTheme="majorBidi" w:cstheme="majorBidi"/>
          <w:sz w:val="20"/>
          <w:szCs w:val="20"/>
        </w:rPr>
        <w:t xml:space="preserve"> user feedback </w:t>
      </w:r>
      <w:r>
        <w:rPr>
          <w:rFonts w:asciiTheme="majorBidi" w:hAnsiTheme="majorBidi" w:cstheme="majorBidi"/>
          <w:sz w:val="20"/>
          <w:szCs w:val="20"/>
        </w:rPr>
        <w:t>mechanism</w:t>
      </w:r>
      <w:r w:rsidR="00F71EA8" w:rsidRPr="00F71EA8">
        <w:rPr>
          <w:rFonts w:asciiTheme="majorBidi" w:hAnsiTheme="majorBidi" w:cstheme="majorBidi"/>
          <w:sz w:val="20"/>
          <w:szCs w:val="20"/>
        </w:rPr>
        <w:t xml:space="preserve"> to </w:t>
      </w:r>
      <w:r>
        <w:rPr>
          <w:rFonts w:asciiTheme="majorBidi" w:hAnsiTheme="majorBidi" w:cstheme="majorBidi"/>
          <w:sz w:val="20"/>
          <w:szCs w:val="20"/>
        </w:rPr>
        <w:t xml:space="preserve">improve further the user-centricity and overall PHC service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{"citationID":"xJOyGIsV","properties":{"formattedCitation":"({\\i{}Principles for Digital Development Working Group}, 2016d)","plainCitation":"(Principles for Digital Development Working Group, 2016d)","noteIndex":0},"citationItems":[{"id":1097,"uris":["http://zotero.org/users/5664472/items/RX3S5W54"],"itemData":{"id":1097,"type":"document","language":"English","publisher":"Principles for Digital Development Working Group","title":"Principle: Design with the User","title-short":"Principles for Digital Development Working Group","URL":"https://digitalprinciples.org/principle/design-with-the-user/","issued":{"date-parts":[["2016"]]}}}],"schema":"https://github.com/citation-style-language/schema/raw/master/csl-citation.json"}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2016d)</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w:t>
      </w:r>
    </w:p>
    <w:p w14:paraId="7B40F547" w14:textId="0A5164BF" w:rsidR="00F71EA8" w:rsidRPr="00F71EA8" w:rsidRDefault="00F71EA8" w:rsidP="00F71EA8">
      <w:pPr>
        <w:spacing w:after="0" w:line="240" w:lineRule="auto"/>
        <w:jc w:val="both"/>
        <w:rPr>
          <w:rFonts w:asciiTheme="majorBidi" w:hAnsiTheme="majorBidi" w:cstheme="majorBidi"/>
          <w:b/>
          <w:bCs/>
          <w:i/>
          <w:iCs/>
          <w:sz w:val="20"/>
          <w:szCs w:val="20"/>
        </w:rPr>
      </w:pPr>
      <w:r w:rsidRPr="00F71EA8">
        <w:rPr>
          <w:rFonts w:asciiTheme="majorBidi" w:hAnsiTheme="majorBidi" w:cstheme="majorBidi"/>
          <w:b/>
          <w:bCs/>
          <w:i/>
          <w:iCs/>
          <w:sz w:val="20"/>
          <w:szCs w:val="20"/>
        </w:rPr>
        <w:t>Privacy</w:t>
      </w:r>
      <w:r w:rsidR="00FB4E65">
        <w:rPr>
          <w:rFonts w:asciiTheme="majorBidi" w:hAnsiTheme="majorBidi" w:cstheme="majorBidi"/>
          <w:b/>
          <w:bCs/>
          <w:i/>
          <w:iCs/>
          <w:sz w:val="20"/>
          <w:szCs w:val="20"/>
        </w:rPr>
        <w:t xml:space="preserve"> and </w:t>
      </w:r>
      <w:r w:rsidR="00FB4E65" w:rsidRPr="00F71EA8">
        <w:rPr>
          <w:rFonts w:asciiTheme="majorBidi" w:hAnsiTheme="majorBidi" w:cstheme="majorBidi"/>
          <w:b/>
          <w:bCs/>
          <w:i/>
          <w:iCs/>
          <w:sz w:val="20"/>
          <w:szCs w:val="20"/>
        </w:rPr>
        <w:t>Security</w:t>
      </w:r>
    </w:p>
    <w:p w14:paraId="785B9925" w14:textId="6D4CFFCA" w:rsidR="00F71EA8" w:rsidRPr="00F71EA8" w:rsidRDefault="00F71EA8" w:rsidP="00142517">
      <w:pPr>
        <w:spacing w:line="240" w:lineRule="auto"/>
        <w:jc w:val="both"/>
        <w:rPr>
          <w:rFonts w:asciiTheme="majorBidi" w:hAnsiTheme="majorBidi" w:cstheme="majorBidi"/>
          <w:sz w:val="20"/>
          <w:szCs w:val="20"/>
        </w:rPr>
      </w:pPr>
      <w:r w:rsidRPr="00F71EA8">
        <w:rPr>
          <w:rFonts w:asciiTheme="majorBidi" w:hAnsiTheme="majorBidi" w:cstheme="majorBidi"/>
          <w:sz w:val="20"/>
          <w:szCs w:val="20"/>
        </w:rPr>
        <w:t xml:space="preserve">Due to </w:t>
      </w:r>
      <w:r w:rsidR="00A6404A">
        <w:rPr>
          <w:rFonts w:asciiTheme="majorBidi" w:hAnsiTheme="majorBidi" w:cstheme="majorBidi"/>
          <w:sz w:val="20"/>
          <w:szCs w:val="20"/>
        </w:rPr>
        <w:t xml:space="preserve">the </w:t>
      </w:r>
      <w:r w:rsidR="00FB4E65">
        <w:rPr>
          <w:rFonts w:asciiTheme="majorBidi" w:hAnsiTheme="majorBidi" w:cstheme="majorBidi"/>
          <w:sz w:val="20"/>
          <w:szCs w:val="20"/>
        </w:rPr>
        <w:t>recent growth</w:t>
      </w:r>
      <w:r w:rsidR="00C233CC">
        <w:rPr>
          <w:rFonts w:asciiTheme="majorBidi" w:hAnsiTheme="majorBidi" w:cstheme="majorBidi"/>
          <w:sz w:val="20"/>
          <w:szCs w:val="20"/>
        </w:rPr>
        <w:t xml:space="preserve"> of </w:t>
      </w:r>
      <w:r w:rsidR="00C233CC" w:rsidRPr="00F71EA8">
        <w:rPr>
          <w:rFonts w:asciiTheme="majorBidi" w:hAnsiTheme="majorBidi" w:cstheme="majorBidi"/>
          <w:sz w:val="20"/>
          <w:szCs w:val="20"/>
        </w:rPr>
        <w:t>cyberattack</w:t>
      </w:r>
      <w:r w:rsidR="00C233CC">
        <w:rPr>
          <w:rFonts w:asciiTheme="majorBidi" w:hAnsiTheme="majorBidi" w:cstheme="majorBidi"/>
          <w:sz w:val="20"/>
          <w:szCs w:val="20"/>
        </w:rPr>
        <w:t>s</w:t>
      </w:r>
      <w:r w:rsidRPr="00F71EA8">
        <w:rPr>
          <w:rFonts w:asciiTheme="majorBidi" w:hAnsiTheme="majorBidi" w:cstheme="majorBidi"/>
          <w:sz w:val="20"/>
          <w:szCs w:val="20"/>
        </w:rPr>
        <w:t xml:space="preserve">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{"citationID":"ndvtgwcz","properties":{"formattedCitation":"({\\i{}GDHP}, 2019)","plainCitation":"(GDHP,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and the possibility of unauthorised access </w:t>
      </w:r>
      <w:r w:rsidR="00142517">
        <w:rPr>
          <w:rFonts w:asciiTheme="majorBidi" w:hAnsiTheme="majorBidi" w:cstheme="majorBidi"/>
          <w:sz w:val="20"/>
          <w:szCs w:val="20"/>
        </w:rPr>
        <w:t>to</w:t>
      </w:r>
      <w:r w:rsidRPr="00F71EA8">
        <w:rPr>
          <w:rFonts w:asciiTheme="majorBidi" w:hAnsiTheme="majorBidi" w:cstheme="majorBidi"/>
          <w:sz w:val="20"/>
          <w:szCs w:val="20"/>
        </w:rPr>
        <w:t xml:space="preserve"> digital health </w:t>
      </w:r>
      <w:r w:rsidR="00FB4E65">
        <w:rPr>
          <w:rFonts w:asciiTheme="majorBidi" w:hAnsiTheme="majorBidi" w:cstheme="majorBidi"/>
          <w:sz w:val="20"/>
          <w:szCs w:val="20"/>
        </w:rPr>
        <w:t>services</w:t>
      </w:r>
      <w:r w:rsidRPr="00F71EA8">
        <w:rPr>
          <w:rFonts w:asciiTheme="majorBidi" w:hAnsiTheme="majorBidi" w:cstheme="majorBidi"/>
          <w:sz w:val="20"/>
          <w:szCs w:val="20"/>
        </w:rPr>
        <w:t xml:space="preserve">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{"citationID":"y5pRoCES","properties":{"formattedCitation":"(Brothers &amp; Rothstein, 2015)","plainCitation":"(Brothers &amp; Rothstein, 2015)","noteIndex":0},"citationItems":[{"id":221,"uris":["http://zotero.org/users/5664472/items/FAXYZQ6I"],"itemData":{"id":221,"type":"article-journal","container-title":"Personalized Medicine","DOI":"10.2217/pme.14.65","ISSN":"1741-0541, 1744-828X","issue":"1","journalAbbreviation":"Personalized Medicine","language":"en","page":"43-51","source":"DOI.org (Crossref)","title":"Ethical, legal and social implications of incorporating personalized medicine into healthcare","volume":"12","author":[{"family":"Brothers","given":"Kyle B"},{"family":"Rothstein","given":"Mark A"}],"issued":{"date-parts":[["2015",1]]}}}],"schema":"https://github.com/citation-style-language/schema/raw/master/csl-citation.json"}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(Brothers &amp; Rothstein, 2015)</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data privacy </w:t>
      </w:r>
      <w:r w:rsidR="00FB4E65">
        <w:rPr>
          <w:rFonts w:asciiTheme="majorBidi" w:hAnsiTheme="majorBidi" w:cstheme="majorBidi"/>
          <w:sz w:val="20"/>
          <w:szCs w:val="20"/>
        </w:rPr>
        <w:t xml:space="preserve">and </w:t>
      </w:r>
      <w:r w:rsidR="00FB4E65" w:rsidRPr="00F71EA8">
        <w:rPr>
          <w:rFonts w:asciiTheme="majorBidi" w:hAnsiTheme="majorBidi" w:cstheme="majorBidi"/>
          <w:sz w:val="20"/>
          <w:szCs w:val="20"/>
        </w:rPr>
        <w:t xml:space="preserve">security </w:t>
      </w:r>
      <w:r w:rsidRPr="00F71EA8">
        <w:rPr>
          <w:rFonts w:asciiTheme="majorBidi" w:hAnsiTheme="majorBidi" w:cstheme="majorBidi"/>
          <w:sz w:val="20"/>
          <w:szCs w:val="20"/>
        </w:rPr>
        <w:t>have been significant issue</w:t>
      </w:r>
      <w:r w:rsidR="00A6404A">
        <w:rPr>
          <w:rFonts w:asciiTheme="majorBidi" w:hAnsiTheme="majorBidi" w:cstheme="majorBidi"/>
          <w:sz w:val="20"/>
          <w:szCs w:val="20"/>
        </w:rPr>
        <w:t>s</w:t>
      </w:r>
      <w:r w:rsidRPr="00F71EA8">
        <w:rPr>
          <w:rFonts w:asciiTheme="majorBidi" w:hAnsiTheme="majorBidi" w:cstheme="majorBidi"/>
          <w:sz w:val="20"/>
          <w:szCs w:val="20"/>
        </w:rPr>
        <w:t xml:space="preserve"> </w:t>
      </w:r>
      <w:r w:rsidR="00FB4E65">
        <w:rPr>
          <w:rFonts w:asciiTheme="majorBidi" w:hAnsiTheme="majorBidi" w:cstheme="majorBidi"/>
          <w:sz w:val="20"/>
          <w:szCs w:val="20"/>
        </w:rPr>
        <w:t>in every healthcare setting worldwide</w:t>
      </w:r>
      <w:r w:rsidRPr="00F71EA8">
        <w:rPr>
          <w:rFonts w:asciiTheme="majorBidi" w:hAnsiTheme="majorBidi" w:cstheme="majorBidi"/>
          <w:sz w:val="20"/>
          <w:szCs w:val="20"/>
        </w:rPr>
        <w:t>.</w:t>
      </w:r>
      <w:r w:rsidR="00FB4E65">
        <w:rPr>
          <w:rFonts w:asciiTheme="majorBidi" w:hAnsiTheme="majorBidi" w:cstheme="majorBidi"/>
          <w:sz w:val="20"/>
          <w:szCs w:val="20"/>
        </w:rPr>
        <w:t xml:space="preserve"> </w:t>
      </w:r>
      <w:r w:rsidR="00A6404A">
        <w:rPr>
          <w:rFonts w:asciiTheme="majorBidi" w:hAnsiTheme="majorBidi" w:cstheme="majorBidi"/>
          <w:sz w:val="20"/>
          <w:szCs w:val="20"/>
        </w:rPr>
        <w:t>Therefore, data privacy and security policy</w:t>
      </w:r>
      <w:r w:rsidRPr="00F71EA8">
        <w:rPr>
          <w:rFonts w:asciiTheme="majorBidi" w:hAnsiTheme="majorBidi" w:cstheme="majorBidi"/>
          <w:sz w:val="20"/>
          <w:szCs w:val="20"/>
        </w:rPr>
        <w:t xml:space="preserve"> </w:t>
      </w:r>
      <w:r w:rsidR="00C233CC">
        <w:rPr>
          <w:rFonts w:asciiTheme="majorBidi" w:hAnsiTheme="majorBidi" w:cstheme="majorBidi"/>
          <w:sz w:val="20"/>
          <w:szCs w:val="20"/>
        </w:rPr>
        <w:t>for</w:t>
      </w:r>
      <w:r w:rsidRPr="00F71EA8">
        <w:rPr>
          <w:rFonts w:asciiTheme="majorBidi" w:hAnsiTheme="majorBidi" w:cstheme="majorBidi"/>
          <w:sz w:val="20"/>
          <w:szCs w:val="20"/>
        </w:rPr>
        <w:t xml:space="preserve"> </w:t>
      </w:r>
      <w:r w:rsidR="00C233CC">
        <w:rPr>
          <w:rFonts w:asciiTheme="majorBidi" w:hAnsiTheme="majorBidi" w:cstheme="majorBidi"/>
          <w:sz w:val="20"/>
          <w:szCs w:val="20"/>
        </w:rPr>
        <w:t>PHC service</w:t>
      </w:r>
      <w:r w:rsidRPr="00F71EA8">
        <w:rPr>
          <w:rFonts w:asciiTheme="majorBidi" w:hAnsiTheme="majorBidi" w:cstheme="majorBidi"/>
          <w:sz w:val="20"/>
          <w:szCs w:val="20"/>
        </w:rPr>
        <w:t xml:space="preserve"> should explicitly </w:t>
      </w:r>
      <w:r w:rsidR="00C233CC">
        <w:rPr>
          <w:rFonts w:asciiTheme="majorBidi" w:hAnsiTheme="majorBidi" w:cstheme="majorBidi"/>
          <w:sz w:val="20"/>
          <w:szCs w:val="20"/>
        </w:rPr>
        <w:t>include</w:t>
      </w:r>
      <w:r w:rsidRPr="00F71EA8">
        <w:rPr>
          <w:rFonts w:asciiTheme="majorBidi" w:hAnsiTheme="majorBidi" w:cstheme="majorBidi"/>
          <w:sz w:val="20"/>
          <w:szCs w:val="20"/>
        </w:rPr>
        <w:t xml:space="preserve"> </w:t>
      </w:r>
      <w:r w:rsidR="00C233CC">
        <w:rPr>
          <w:rFonts w:asciiTheme="majorBidi" w:hAnsiTheme="majorBidi" w:cstheme="majorBidi"/>
          <w:sz w:val="20"/>
          <w:szCs w:val="20"/>
        </w:rPr>
        <w:t xml:space="preserve">regulations for </w:t>
      </w:r>
      <w:r w:rsidRPr="00F71EA8">
        <w:rPr>
          <w:rFonts w:asciiTheme="majorBidi" w:hAnsiTheme="majorBidi" w:cstheme="majorBidi"/>
          <w:sz w:val="20"/>
          <w:szCs w:val="20"/>
        </w:rPr>
        <w:t>data</w:t>
      </w:r>
      <w:r w:rsidR="00C233CC">
        <w:rPr>
          <w:rFonts w:asciiTheme="majorBidi" w:hAnsiTheme="majorBidi" w:cstheme="majorBidi"/>
          <w:sz w:val="20"/>
          <w:szCs w:val="20"/>
        </w:rPr>
        <w:t xml:space="preserve"> ownership,</w:t>
      </w:r>
      <w:r w:rsidRPr="00F71EA8">
        <w:rPr>
          <w:rFonts w:asciiTheme="majorBidi" w:hAnsiTheme="majorBidi" w:cstheme="majorBidi"/>
          <w:sz w:val="20"/>
          <w:szCs w:val="20"/>
        </w:rPr>
        <w:t xml:space="preserve"> sovereignty, access</w:t>
      </w:r>
      <w:r w:rsidR="00C233CC">
        <w:rPr>
          <w:rFonts w:asciiTheme="majorBidi" w:hAnsiTheme="majorBidi" w:cstheme="majorBidi"/>
          <w:sz w:val="20"/>
          <w:szCs w:val="20"/>
        </w:rPr>
        <w:t xml:space="preserve"> and</w:t>
      </w:r>
      <w:r w:rsidRPr="00F71EA8">
        <w:rPr>
          <w:rFonts w:asciiTheme="majorBidi" w:hAnsiTheme="majorBidi" w:cstheme="majorBidi"/>
          <w:sz w:val="20"/>
          <w:szCs w:val="20"/>
        </w:rPr>
        <w:t xml:space="preserve"> control over data usage</w:t>
      </w:r>
      <w:r w:rsidR="00C233CC">
        <w:rPr>
          <w:rFonts w:asciiTheme="majorBidi" w:hAnsiTheme="majorBidi" w:cstheme="majorBidi"/>
          <w:sz w:val="20"/>
          <w:szCs w:val="20"/>
        </w:rPr>
        <w:t xml:space="preserve"> and </w:t>
      </w:r>
      <w:r w:rsidR="00C233CC" w:rsidRPr="00F71EA8">
        <w:rPr>
          <w:rFonts w:asciiTheme="majorBidi" w:hAnsiTheme="majorBidi" w:cstheme="majorBidi"/>
          <w:sz w:val="20"/>
          <w:szCs w:val="20"/>
        </w:rPr>
        <w:t>storage</w:t>
      </w:r>
      <w:r w:rsidR="00C233CC">
        <w:rPr>
          <w:rFonts w:asciiTheme="majorBidi" w:hAnsiTheme="majorBidi" w:cstheme="majorBidi"/>
          <w:sz w:val="20"/>
          <w:szCs w:val="20"/>
        </w:rPr>
        <w:t xml:space="preserve">. It should be developed </w:t>
      </w:r>
      <w:r w:rsidRPr="00F71EA8">
        <w:rPr>
          <w:rFonts w:asciiTheme="majorBidi" w:hAnsiTheme="majorBidi" w:cstheme="majorBidi"/>
          <w:sz w:val="20"/>
          <w:szCs w:val="20"/>
        </w:rPr>
        <w:t xml:space="preserve">in </w:t>
      </w:r>
      <w:r w:rsidR="00A6404A">
        <w:rPr>
          <w:rFonts w:asciiTheme="majorBidi" w:hAnsiTheme="majorBidi" w:cstheme="majorBidi"/>
          <w:sz w:val="20"/>
          <w:szCs w:val="20"/>
        </w:rPr>
        <w:t>straightforward</w:t>
      </w:r>
      <w:r w:rsidRPr="00F71EA8">
        <w:rPr>
          <w:rFonts w:asciiTheme="majorBidi" w:hAnsiTheme="majorBidi" w:cstheme="majorBidi"/>
          <w:sz w:val="20"/>
          <w:szCs w:val="20"/>
        </w:rPr>
        <w:t xml:space="preserve"> language </w:t>
      </w:r>
      <w:r w:rsidRPr="00551E1A">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{"citationID":"p7HRLy0G","properties":{"formattedCitation":"({\\i{}Principles for Digital Development Working Group}, 2016a)","plainCitation":"(Principles for Digital Development Working Group, 2016a)","noteIndex":0},"citationItems":[{"id":1098,"uris":["http://zotero.org/users/5664472/items/AP4JB93D"],"itemData":{"id":1098,"type":"document","publisher":"Principles for Digital Development Forum","title":"Principle: Address Privacy &amp; Security","title-short":"Principles for Digital Development Working Group","URL":"https://digitalprinciples.org/resource/principle-8-address-privacy-security/","issued":{"date-parts":[["2016"]]}}}],"schema":"https://github.com/citation-style-language/schema/raw/master/csl-citation.json"} </w:instrText>
      </w:r>
      <w:r w:rsidRPr="00551E1A">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2016a)</w:t>
      </w:r>
      <w:r w:rsidRPr="00551E1A">
        <w:rPr>
          <w:rFonts w:asciiTheme="majorBidi" w:hAnsiTheme="majorBidi" w:cstheme="majorBidi"/>
          <w:sz w:val="20"/>
          <w:szCs w:val="20"/>
        </w:rPr>
        <w:fldChar w:fldCharType="end"/>
      </w:r>
      <w:r w:rsidRPr="00551E1A">
        <w:rPr>
          <w:rFonts w:asciiTheme="majorBidi" w:hAnsiTheme="majorBidi" w:cstheme="majorBidi"/>
          <w:sz w:val="20"/>
          <w:szCs w:val="20"/>
        </w:rPr>
        <w:t xml:space="preserve">. </w:t>
      </w:r>
      <w:r w:rsidR="00551E1A" w:rsidRPr="00551E1A">
        <w:rPr>
          <w:rFonts w:asciiTheme="majorBidi" w:hAnsiTheme="majorBidi" w:cstheme="majorBidi"/>
          <w:sz w:val="20"/>
          <w:szCs w:val="20"/>
        </w:rPr>
        <w:t>P</w:t>
      </w:r>
      <w:r w:rsidRPr="00551E1A">
        <w:rPr>
          <w:rFonts w:asciiTheme="majorBidi" w:hAnsiTheme="majorBidi" w:cstheme="majorBidi"/>
          <w:sz w:val="20"/>
          <w:szCs w:val="20"/>
        </w:rPr>
        <w:t>ersonally identifiable information (PII)</w:t>
      </w:r>
      <w:r w:rsidR="00551E1A" w:rsidRPr="00551E1A">
        <w:rPr>
          <w:rFonts w:asciiTheme="majorBidi" w:hAnsiTheme="majorBidi" w:cstheme="majorBidi"/>
          <w:sz w:val="20"/>
          <w:szCs w:val="20"/>
        </w:rPr>
        <w:t xml:space="preserve"> in the health data</w:t>
      </w:r>
      <w:r w:rsidRPr="00551E1A">
        <w:rPr>
          <w:rFonts w:asciiTheme="majorBidi" w:hAnsiTheme="majorBidi" w:cstheme="majorBidi"/>
          <w:sz w:val="20"/>
          <w:szCs w:val="20"/>
        </w:rPr>
        <w:t xml:space="preserve"> should be anonymised for any usage by the </w:t>
      </w:r>
      <w:r w:rsidR="00551E1A" w:rsidRPr="00551E1A">
        <w:rPr>
          <w:rFonts w:asciiTheme="majorBidi" w:hAnsiTheme="majorBidi" w:cstheme="majorBidi"/>
          <w:sz w:val="20"/>
          <w:szCs w:val="20"/>
        </w:rPr>
        <w:t>PHC service</w:t>
      </w:r>
      <w:r w:rsidRPr="00551E1A">
        <w:rPr>
          <w:rFonts w:asciiTheme="majorBidi" w:hAnsiTheme="majorBidi" w:cstheme="majorBidi"/>
          <w:sz w:val="20"/>
          <w:szCs w:val="20"/>
        </w:rPr>
        <w:t xml:space="preserve"> </w:t>
      </w:r>
      <w:r w:rsidRPr="00551E1A">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{"citationID":"Nno0bJG8","properties":{"formattedCitation":"({\\i{}Ipsos MORI}, 2014; {\\i{}Health Data Exploration Project}, 2014; Vithiatharan, 2014)","plainCitation":"(Ipsos MORI, 2014; Health Data Exploration Project, 2014; Vithiatharan, 2014)","noteIndex":0},"citationItems":[{"id":1164,"uris":["http://zotero.org/users/5664472/items/PXAV6QFJ"],"itemData":{"id":1164,"type":"paper-conference","abstract":"The potential to use big data sources for public health increases with the broadening availability of data and improved methods of analysis. Whilst there are some well-known examples of the opportunistic use of big data, such as GoogleFlu, public health has not yet realised the full potential of such data sources. A literature review was undertaken to identify the potential of such data collections to impact public health, and to identify what challenges are currently limiting this potential. The potential include improved real-time analysis, research and development and genome studies. However, challenges listed are poor universal standardisation and classification, privacy and security, as well as current inadequate platforms and tools for analysis. Without such reviews, limited understanding will hinder the rate of advance in utilising such data to improve the health status of population in public health.","container-title":"Proceedings of the 3rd Australian eHealth Informatics and Security Conference. Held on the 1-3 December","DOI":"10.4225/75/579824F531B45","language":"en","page":"Western Australia.","source":"DOI.org (Datacite)","title":"The potentials and challenges of big data in public health","URL":"http://ro.ecu.edu.au/aeis/19","volume":"2014 at Edith Cowan University","author":[{"family":"Vithiatharan","given":"Rena N."}],"accessed":{"date-parts":[["2020",6,17]]},"issued":{"date-parts":[["2014"]]}}},{"id":1163,"uris":["http://zotero.org/users/5664472/items/SX2HEDII"],"itemData":{"id":1163,"type":"report","language":"English","publisher":"California Institute for Telecommunications and Information Technology","title":"Personal Data for the Public Good","title-short":"Health Data Exploration project","URL":"http://hdexplore.calit2.net/wp-content/uploads/2015/08/hdx_final_report_small.pdf","accessed":{"date-parts":[["2020",6,17]]},"issued":{"date-parts":[["2014",3]]}}},{"id":1162,"uris":["http://zotero.org/users/5664472/items/5648KWNK"],"itemData":{"id":1162,"type":"webpage","abstract":"New research for the Royal Statistical Society carried out by Ipsos MORI reveals that the media, internet companies, telecommunications companies and insurance companies all come at the bottom of a \"trust in data\" league table.","container-title":"Ipsos MORI","language":"en-uk","title":"New research finds data trust deficit with lessons for policymakers","title-short":"Ipsos MORI","URL":"https://www.ipsos.com/ipsos-mori/en-uk/new-research-finds-data-trust-deficit-lessons-policymakers","accessed":{"date-parts":[["2020",6,17]]},"issued":{"date-parts":[["2014",7,24]]}}}],"schema":"https://github.com/citation-style-language/schema/raw/master/csl-citation.json"} </w:instrText>
      </w:r>
      <w:r w:rsidRPr="00551E1A">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Ipsos MORI</w:t>
      </w:r>
      <w:r w:rsidR="00142517" w:rsidRPr="00142517">
        <w:rPr>
          <w:rFonts w:ascii="Times New Roman" w:hAnsi="Times New Roman" w:cs="Times New Roman"/>
          <w:sz w:val="20"/>
          <w:szCs w:val="24"/>
        </w:rPr>
        <w:t xml:space="preserve">, 2014; </w:t>
      </w:r>
      <w:r w:rsidR="00142517" w:rsidRPr="00142517">
        <w:rPr>
          <w:rFonts w:ascii="Times New Roman" w:hAnsi="Times New Roman" w:cs="Times New Roman"/>
          <w:i/>
          <w:iCs/>
          <w:sz w:val="20"/>
          <w:szCs w:val="24"/>
        </w:rPr>
        <w:t>Health Data Exploration Project</w:t>
      </w:r>
      <w:r w:rsidR="00142517" w:rsidRPr="00142517">
        <w:rPr>
          <w:rFonts w:ascii="Times New Roman" w:hAnsi="Times New Roman" w:cs="Times New Roman"/>
          <w:sz w:val="20"/>
          <w:szCs w:val="24"/>
        </w:rPr>
        <w:t>, 2014; Vithiatharan, 2014)</w:t>
      </w:r>
      <w:r w:rsidRPr="00551E1A">
        <w:rPr>
          <w:rFonts w:asciiTheme="majorBidi" w:hAnsiTheme="majorBidi" w:cstheme="majorBidi"/>
          <w:sz w:val="20"/>
          <w:szCs w:val="20"/>
        </w:rPr>
        <w:fldChar w:fldCharType="end"/>
      </w:r>
      <w:r w:rsidRPr="00551E1A">
        <w:rPr>
          <w:rFonts w:asciiTheme="majorBidi" w:hAnsiTheme="majorBidi" w:cstheme="majorBidi"/>
          <w:sz w:val="20"/>
          <w:szCs w:val="20"/>
        </w:rPr>
        <w:t>.</w:t>
      </w:r>
      <w:r w:rsidR="00551E1A" w:rsidRPr="00551E1A">
        <w:rPr>
          <w:rFonts w:asciiTheme="majorBidi" w:hAnsiTheme="majorBidi" w:cstheme="majorBidi"/>
          <w:sz w:val="20"/>
          <w:szCs w:val="20"/>
        </w:rPr>
        <w:t xml:space="preserve"> In exceptional circumstance</w:t>
      </w:r>
      <w:r w:rsidR="00A6404A">
        <w:rPr>
          <w:rFonts w:asciiTheme="majorBidi" w:hAnsiTheme="majorBidi" w:cstheme="majorBidi"/>
          <w:sz w:val="20"/>
          <w:szCs w:val="20"/>
        </w:rPr>
        <w:t>s</w:t>
      </w:r>
      <w:r w:rsidRPr="00551E1A">
        <w:rPr>
          <w:rFonts w:asciiTheme="majorBidi" w:hAnsiTheme="majorBidi" w:cstheme="majorBidi"/>
          <w:sz w:val="20"/>
          <w:szCs w:val="20"/>
        </w:rPr>
        <w:t>, de-anonymisation</w:t>
      </w:r>
      <w:r w:rsidR="00551E1A" w:rsidRPr="00551E1A">
        <w:rPr>
          <w:rFonts w:asciiTheme="majorBidi" w:hAnsiTheme="majorBidi" w:cstheme="majorBidi"/>
          <w:sz w:val="20"/>
          <w:szCs w:val="20"/>
        </w:rPr>
        <w:t xml:space="preserve"> </w:t>
      </w:r>
      <w:r w:rsidR="00A6404A">
        <w:rPr>
          <w:rFonts w:asciiTheme="majorBidi" w:hAnsiTheme="majorBidi" w:cstheme="majorBidi"/>
          <w:sz w:val="20"/>
          <w:szCs w:val="20"/>
        </w:rPr>
        <w:t xml:space="preserve">of </w:t>
      </w:r>
      <w:r w:rsidRPr="00551E1A">
        <w:rPr>
          <w:rFonts w:asciiTheme="majorBidi" w:hAnsiTheme="majorBidi" w:cstheme="majorBidi"/>
          <w:sz w:val="20"/>
          <w:szCs w:val="20"/>
        </w:rPr>
        <w:t xml:space="preserve">PII must be strictly limited. </w:t>
      </w:r>
      <w:r w:rsidR="00551E1A">
        <w:rPr>
          <w:rFonts w:asciiTheme="majorBidi" w:hAnsiTheme="majorBidi" w:cstheme="majorBidi"/>
          <w:sz w:val="20"/>
          <w:szCs w:val="20"/>
        </w:rPr>
        <w:t>In principle, i</w:t>
      </w:r>
      <w:r w:rsidRPr="00551E1A">
        <w:rPr>
          <w:rFonts w:asciiTheme="majorBidi" w:hAnsiTheme="majorBidi" w:cstheme="majorBidi"/>
          <w:sz w:val="20"/>
          <w:szCs w:val="20"/>
        </w:rPr>
        <w:t xml:space="preserve">t should be </w:t>
      </w:r>
      <w:r w:rsidR="00551E1A">
        <w:rPr>
          <w:rFonts w:asciiTheme="majorBidi" w:hAnsiTheme="majorBidi" w:cstheme="majorBidi"/>
          <w:sz w:val="20"/>
          <w:szCs w:val="20"/>
        </w:rPr>
        <w:t xml:space="preserve">used for </w:t>
      </w:r>
      <w:r w:rsidRPr="00551E1A">
        <w:rPr>
          <w:rFonts w:asciiTheme="majorBidi" w:hAnsiTheme="majorBidi" w:cstheme="majorBidi"/>
          <w:sz w:val="20"/>
          <w:szCs w:val="20"/>
        </w:rPr>
        <w:t>limited purpose</w:t>
      </w:r>
      <w:r w:rsidR="00A6404A">
        <w:rPr>
          <w:rFonts w:asciiTheme="majorBidi" w:hAnsiTheme="majorBidi" w:cstheme="majorBidi"/>
          <w:sz w:val="20"/>
          <w:szCs w:val="20"/>
        </w:rPr>
        <w:t>s, assuring users' data protection, minimisation, and transparency</w:t>
      </w:r>
      <w:r w:rsidRPr="00551E1A">
        <w:rPr>
          <w:rFonts w:asciiTheme="majorBidi" w:hAnsiTheme="majorBidi" w:cstheme="majorBidi"/>
          <w:sz w:val="20"/>
          <w:szCs w:val="20"/>
        </w:rPr>
        <w:t xml:space="preserve"> </w:t>
      </w:r>
      <w:r w:rsidRPr="00551E1A">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{"citationID":"BeqjWnzW","properties":{"formattedCitation":"({\\i{}GDPR}, 2018)","plainCitation":"(GDPR, 2018)","noteIndex":0},"citationItems":[{"id":1394,"uris":["http://zotero.org/users/5664472/items/B7XZHQSC"],"itemData":{"id":1394,"type":"webpage","abstract":"General Data Protection Regulation – Final legal text of the Regulation (EU) 2016/679 (EU GDPR). The official PDF and its recitals as a neatly arranged website. Additionally key issues of the GDPR are explained and further information from the data protection authorities is provided.","container-title":"General Data Protection Regulation (GDPR)","language":"en-US","title":"General Data Protection Regulation","title-short":"GDPR","URL":"https://gdpr-info.eu/","accessed":{"date-parts":[["2019",5,5]]},"issued":{"date-parts":[["2018",5,25]]}}}],"schema":"https://github.com/citation-style-language/schema/raw/master/csl-citation.json"} </w:instrText>
      </w:r>
      <w:r w:rsidRPr="00551E1A">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GDPR</w:t>
      </w:r>
      <w:r w:rsidR="00142517" w:rsidRPr="00142517">
        <w:rPr>
          <w:rFonts w:ascii="Times New Roman" w:hAnsi="Times New Roman" w:cs="Times New Roman"/>
          <w:sz w:val="20"/>
          <w:szCs w:val="24"/>
        </w:rPr>
        <w:t>, 2018)</w:t>
      </w:r>
      <w:r w:rsidRPr="00551E1A">
        <w:rPr>
          <w:rFonts w:asciiTheme="majorBidi" w:hAnsiTheme="majorBidi" w:cstheme="majorBidi"/>
          <w:sz w:val="20"/>
          <w:szCs w:val="20"/>
        </w:rPr>
        <w:fldChar w:fldCharType="end"/>
      </w:r>
      <w:r w:rsidRPr="00551E1A">
        <w:rPr>
          <w:rFonts w:asciiTheme="majorBidi" w:hAnsiTheme="majorBidi" w:cstheme="majorBidi"/>
          <w:sz w:val="20"/>
          <w:szCs w:val="20"/>
        </w:rPr>
        <w:t xml:space="preserve">. </w:t>
      </w:r>
      <w:r w:rsidR="00BE4E1C">
        <w:rPr>
          <w:rFonts w:asciiTheme="majorBidi" w:hAnsiTheme="majorBidi" w:cstheme="majorBidi"/>
          <w:sz w:val="20"/>
          <w:szCs w:val="20"/>
        </w:rPr>
        <w:t>PHC service</w:t>
      </w:r>
      <w:r w:rsidRPr="00F71EA8">
        <w:rPr>
          <w:rFonts w:asciiTheme="majorBidi" w:hAnsiTheme="majorBidi" w:cstheme="majorBidi"/>
          <w:sz w:val="20"/>
          <w:szCs w:val="20"/>
        </w:rPr>
        <w:t xml:space="preserve"> must </w:t>
      </w:r>
      <w:r w:rsidR="00BE4E1C">
        <w:rPr>
          <w:rFonts w:asciiTheme="majorBidi" w:hAnsiTheme="majorBidi" w:cstheme="majorBidi"/>
          <w:sz w:val="20"/>
          <w:szCs w:val="20"/>
        </w:rPr>
        <w:t>include</w:t>
      </w:r>
      <w:r w:rsidRPr="00F71EA8">
        <w:rPr>
          <w:rFonts w:asciiTheme="majorBidi" w:hAnsiTheme="majorBidi" w:cstheme="majorBidi"/>
          <w:sz w:val="20"/>
          <w:szCs w:val="20"/>
        </w:rPr>
        <w:t xml:space="preserve"> data security by design and default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{"citationID":"uY3jEqev","properties":{"formattedCitation":"({\\i{}GDPR}, 2018)","plainCitation":"(GDPR, 2018)","noteIndex":0},"citationItems":[{"id":1394,"uris":["http://zotero.org/users/5664472/items/B7XZHQSC"],"itemData":{"id":1394,"type":"webpage","abstract":"General Data Protection Regulation – Final legal text of the Regulation (EU) 2016/679 (EU GDPR). The official PDF and its recitals as a neatly arranged website. Additionally key issues of the GDPR are explained and further information from the data protection authorities is provided.","container-title":"General Data Protection Regulation (GDPR)","language":"en-US","title":"General Data Protection Regulation","title-short":"GDPR","URL":"https://gdpr-info.eu/","accessed":{"date-parts":[["2019",5,5]]},"issued":{"date-parts":[["2018",5,25]]}}}],"schema":"https://github.com/citation-style-language/schema/raw/master/csl-citation.json"}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GDPR</w:t>
      </w:r>
      <w:r w:rsidR="00142517" w:rsidRPr="00142517">
        <w:rPr>
          <w:rFonts w:ascii="Times New Roman" w:hAnsi="Times New Roman" w:cs="Times New Roman"/>
          <w:sz w:val="20"/>
          <w:szCs w:val="24"/>
        </w:rPr>
        <w:t>, 2018)</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w:t>
      </w:r>
      <w:r w:rsidR="00142517">
        <w:rPr>
          <w:rFonts w:asciiTheme="majorBidi" w:hAnsiTheme="majorBidi" w:cstheme="majorBidi"/>
          <w:sz w:val="20"/>
          <w:szCs w:val="20"/>
        </w:rPr>
        <w:t xml:space="preserve"> </w:t>
      </w:r>
      <w:r w:rsidR="00BE4E1C">
        <w:rPr>
          <w:rFonts w:asciiTheme="majorBidi" w:hAnsiTheme="majorBidi" w:cstheme="majorBidi"/>
          <w:sz w:val="20"/>
          <w:szCs w:val="20"/>
        </w:rPr>
        <w:t xml:space="preserve">PHC </w:t>
      </w:r>
      <w:r w:rsidRPr="00F71EA8">
        <w:rPr>
          <w:rFonts w:asciiTheme="majorBidi" w:hAnsiTheme="majorBidi" w:cstheme="majorBidi"/>
          <w:sz w:val="20"/>
          <w:szCs w:val="20"/>
        </w:rPr>
        <w:t xml:space="preserve">service should also incorporate contemporary security techniques such as multi-factor authentication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{"citationID":"4S96fjE2","properties":{"formattedCitation":"(Borde, 2007; Mikkelsen et al., 2020)","plainCitation":"(Borde, 2007; Mikkelsen et al., 2020)","noteIndex":0},"citationItems":[{"id":1178,"uris":["http://zotero.org/users/5664472/items/JR2NL5L9"],"itemData":{"id":1178,"type":"article-journal","abstract":"Anyone introducing a secure authentication system beyond basic user name and password authentication faces a variety of choices. Failing to consider all the needs of the authentication system during the decision-making process can prove to be an expensive mistake. It is important to ensure that the system as a whole, not just the choice of technology, continues to meet the needs of the business and its users, both in the short and long term.","container-title":"Network Security","DOI":"10.1016/S1353-4858(07)70066-1","ISSN":"1353-4858","issue":"7","journalAbbreviation":"Network Security","language":"en","page":"17-20","source":"ScienceDirect","title":"Selecting a two-factor authentication system","volume":"2007","author":[{"family":"Borde","given":"Duncan","dropping-particle":"de"}],"issued":{"date-parts":[["2007",7,1]]}}},{"id":1160,"uris":["http://zotero.org/users/5664472/items/PTC77UF6"],"itemData":{"id":1160,"type":"webpage","abstract":"How can European companies best prevent measures intended to control the COVID-19 pandemic from also undermining data privacy and security?","language":"en","note":"source: www.mckinsey.com","title":"Privacy, security, and public health in a pandemic year","URL":"https://www.mckinsey.com/business-functions/risk/our-insights/privacy-security-and-public-health-in-a-pandemic-year","author":[{"family":"Mikkelsen","given":"Daniel"},{"family":"Soller","given":"Henning"},{"family":"Strandell-Jansson","given":"Malin"}],"accessed":{"date-parts":[["2020",6,24]]},"issued":{"date-parts":[["2020",6,15]]}}}],"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(Borde, 2007; Mikkelsen et al., 2020)</w:t>
      </w:r>
      <w:r w:rsidRPr="00F71EA8">
        <w:rPr>
          <w:rFonts w:asciiTheme="majorBidi" w:hAnsiTheme="majorBidi" w:cstheme="majorBidi"/>
          <w:sz w:val="20"/>
          <w:szCs w:val="20"/>
        </w:rPr>
        <w:fldChar w:fldCharType="end"/>
      </w:r>
      <w:r w:rsidR="00BE4E1C">
        <w:rPr>
          <w:rFonts w:asciiTheme="majorBidi" w:hAnsiTheme="majorBidi" w:cstheme="majorBidi"/>
          <w:sz w:val="20"/>
          <w:szCs w:val="20"/>
        </w:rPr>
        <w:t xml:space="preserve"> besides conventional data privacy and security mechanisms</w:t>
      </w:r>
      <w:r w:rsidRPr="00F71EA8">
        <w:rPr>
          <w:rFonts w:asciiTheme="majorBidi" w:hAnsiTheme="majorBidi" w:cstheme="majorBidi"/>
          <w:sz w:val="20"/>
          <w:szCs w:val="20"/>
        </w:rPr>
        <w:t xml:space="preserve">. Furthermore, the </w:t>
      </w:r>
      <w:r w:rsidR="001308ED">
        <w:rPr>
          <w:rFonts w:asciiTheme="majorBidi" w:hAnsiTheme="majorBidi" w:cstheme="majorBidi"/>
          <w:sz w:val="20"/>
          <w:szCs w:val="20"/>
        </w:rPr>
        <w:t>PHC</w:t>
      </w:r>
      <w:r w:rsidRPr="00F71EA8">
        <w:rPr>
          <w:rFonts w:asciiTheme="majorBidi" w:hAnsiTheme="majorBidi" w:cstheme="majorBidi"/>
          <w:sz w:val="20"/>
          <w:szCs w:val="20"/>
        </w:rPr>
        <w:t xml:space="preserve"> service should </w:t>
      </w:r>
      <w:r w:rsidR="001308ED">
        <w:rPr>
          <w:rFonts w:asciiTheme="majorBidi" w:hAnsiTheme="majorBidi" w:cstheme="majorBidi"/>
          <w:sz w:val="20"/>
          <w:szCs w:val="20"/>
        </w:rPr>
        <w:t>incorporate</w:t>
      </w:r>
      <w:r w:rsidRPr="00F71EA8">
        <w:rPr>
          <w:rFonts w:asciiTheme="majorBidi" w:hAnsiTheme="majorBidi" w:cstheme="majorBidi"/>
          <w:sz w:val="20"/>
          <w:szCs w:val="20"/>
        </w:rPr>
        <w:t xml:space="preserve"> </w:t>
      </w:r>
      <w:r w:rsidR="001308ED">
        <w:rPr>
          <w:rFonts w:asciiTheme="majorBidi" w:hAnsiTheme="majorBidi" w:cstheme="majorBidi"/>
          <w:sz w:val="20"/>
          <w:szCs w:val="20"/>
        </w:rPr>
        <w:t>effective</w:t>
      </w:r>
      <w:r w:rsidRPr="00F71EA8">
        <w:rPr>
          <w:rFonts w:asciiTheme="majorBidi" w:hAnsiTheme="majorBidi" w:cstheme="majorBidi"/>
          <w:sz w:val="20"/>
          <w:szCs w:val="20"/>
        </w:rPr>
        <w:t xml:space="preserve"> notification mechanism</w:t>
      </w:r>
      <w:r w:rsidR="00A6404A">
        <w:rPr>
          <w:rFonts w:asciiTheme="majorBidi" w:hAnsiTheme="majorBidi" w:cstheme="majorBidi"/>
          <w:sz w:val="20"/>
          <w:szCs w:val="20"/>
        </w:rPr>
        <w:t>s to broadcast cyber-incident and breach notifications</w:t>
      </w:r>
      <w:r w:rsidRPr="00F71EA8">
        <w:rPr>
          <w:rFonts w:asciiTheme="majorBidi" w:hAnsiTheme="majorBidi" w:cstheme="majorBidi"/>
          <w:sz w:val="20"/>
          <w:szCs w:val="20"/>
        </w:rPr>
        <w:t>, security</w:t>
      </w:r>
      <w:r w:rsidR="001308ED">
        <w:rPr>
          <w:rFonts w:asciiTheme="majorBidi" w:hAnsiTheme="majorBidi" w:cstheme="majorBidi"/>
          <w:sz w:val="20"/>
          <w:szCs w:val="20"/>
        </w:rPr>
        <w:t xml:space="preserve"> updates, and system</w:t>
      </w:r>
      <w:r w:rsidRPr="00F71EA8">
        <w:rPr>
          <w:rFonts w:asciiTheme="majorBidi" w:hAnsiTheme="majorBidi" w:cstheme="majorBidi"/>
          <w:sz w:val="20"/>
          <w:szCs w:val="20"/>
        </w:rPr>
        <w:t xml:space="preserve"> updates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{"citationID":"qKoyqon4","properties":{"formattedCitation":"(Fernandez-Aleman et al., 2015; Mikkelsen et al., 2020)","plainCitation":"(Fernandez-Aleman et al., 2015; Mikkelsen et al., 2020)","noteIndex":0},"citationItems":[{"id":1160,"uris":["http://zotero.org/users/5664472/items/PTC77UF6"],"itemData":{"id":1160,"type":"webpage","abstract":"How can European companies best prevent measures intended to control the COVID-19 pandemic from also undermining data privacy and security?","language":"en","note":"source: www.mckinsey.com","title":"Privacy, security, and public health in a pandemic year","URL":"https://www.mckinsey.com/business-functions/risk/our-insights/privacy-security-and-public-health-in-a-pandemic-year","author":[{"family":"Mikkelsen","given":"Daniel"},{"family":"Soller","given":"Henning"},{"family":"Strandell-Jansson","given":"Malin"}],"accessed":{"date-parts":[["2020",6,24]]},"issued":{"date-parts":[["2020",6,15]]}}},{"id":129,"uris":["http://zotero.org/users/5664472/items/58MWSPY3"],"itemData":{"id":129,"type":"paper-conference","abstract":"The objective of this paper is to present a brief description of technical solutions for health information system security threats caused by inadequate security and privacy practices in healthcare professionals. A literature search was carried out in ScienceDirect, ACM Digital Library and IEEE Digital Library to find papers reporting technical solutions for certain security problems in information systems used in clinical settings. A total of 17 technical solutions were identified: measures for password security, the secure use of email, the Internet, portable storage devices, printers and screens. Although technical safeguards are essential to the security of healthcare organization’s information systems, good training, awareness programs and adopting a proper information security policy are particularly important to prevent insiders from causing security incidents.","container-title":"2015 37th Annual International Conference of the IEEE Engineering in Medicine and Biology Society (EMBC)","DOI":"10.1109/EMBC.2015.7318628","event":"2015 37th Annual International Conference of the IEEE Engineering in Medicine and Biology Society (EMBC)","event-place":"Milan","ISBN":"978-1-4244-9271-8","language":"en","page":"1389-1392","publisher":"IEEE","publisher-place":"Milan","source":"DOI.org (Crossref)","title":"Technical solutions for mitigating security threats caused by health professionals in clinical settings","URL":"https://ieeexplore.ieee.org/document/7318628/","author":[{"family":"Fernandez-Aleman","given":"Jose Luis"},{"family":"Sanchez Garcia","given":"Ana Belen"},{"family":"Garcia-Mateos","given":"Gines"},{"family":"Toval","given":"Ambrosio"}],"accessed":{"date-parts":[["2019",4,29]]},"issued":{"date-parts":[["2015",8]]}}}],"schema":"https://github.com/citation-style-language/schema/raw/master/csl-citation.json"}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(Fernandez-Aleman et al., 2015; Mikkelsen et al., 2020)</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t>
      </w:r>
      <w:r w:rsidR="001308ED">
        <w:rPr>
          <w:rFonts w:asciiTheme="majorBidi" w:hAnsiTheme="majorBidi" w:cstheme="majorBidi"/>
          <w:sz w:val="20"/>
          <w:szCs w:val="20"/>
        </w:rPr>
        <w:t xml:space="preserve">Incorporating </w:t>
      </w:r>
      <w:r w:rsidRPr="00F71EA8">
        <w:rPr>
          <w:rFonts w:asciiTheme="majorBidi" w:hAnsiTheme="majorBidi" w:cstheme="majorBidi"/>
          <w:sz w:val="20"/>
          <w:szCs w:val="20"/>
        </w:rPr>
        <w:t xml:space="preserve">these into the data </w:t>
      </w:r>
      <w:r w:rsidR="001308ED">
        <w:rPr>
          <w:rFonts w:asciiTheme="majorBidi" w:hAnsiTheme="majorBidi" w:cstheme="majorBidi"/>
          <w:sz w:val="20"/>
          <w:szCs w:val="20"/>
        </w:rPr>
        <w:t xml:space="preserve">privacy and </w:t>
      </w:r>
      <w:r w:rsidRPr="00F71EA8">
        <w:rPr>
          <w:rFonts w:asciiTheme="majorBidi" w:hAnsiTheme="majorBidi" w:cstheme="majorBidi"/>
          <w:sz w:val="20"/>
          <w:szCs w:val="20"/>
        </w:rPr>
        <w:t xml:space="preserve">security policy will </w:t>
      </w:r>
      <w:r w:rsidR="001308ED">
        <w:rPr>
          <w:rFonts w:asciiTheme="majorBidi" w:hAnsiTheme="majorBidi" w:cstheme="majorBidi"/>
          <w:sz w:val="20"/>
          <w:szCs w:val="20"/>
        </w:rPr>
        <w:t>assure</w:t>
      </w:r>
      <w:r w:rsidRPr="00F71EA8">
        <w:rPr>
          <w:rFonts w:asciiTheme="majorBidi" w:hAnsiTheme="majorBidi" w:cstheme="majorBidi"/>
          <w:sz w:val="20"/>
          <w:szCs w:val="20"/>
        </w:rPr>
        <w:t xml:space="preserve"> transparen</w:t>
      </w:r>
      <w:r w:rsidR="001308ED">
        <w:rPr>
          <w:rFonts w:asciiTheme="majorBidi" w:hAnsiTheme="majorBidi" w:cstheme="majorBidi"/>
          <w:sz w:val="20"/>
          <w:szCs w:val="20"/>
        </w:rPr>
        <w:t>t service operations</w:t>
      </w:r>
      <w:r w:rsidRPr="00F71EA8">
        <w:rPr>
          <w:rFonts w:asciiTheme="majorBidi" w:hAnsiTheme="majorBidi" w:cstheme="majorBidi"/>
          <w:sz w:val="20"/>
          <w:szCs w:val="20"/>
        </w:rPr>
        <w:t xml:space="preserve">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{"citationID":"rMK8WkNK","properties":{"formattedCitation":"({\\i{}GDPR}, 2018; Mikkelsen et al., 2020)","plainCitation":"(GDPR, 2018; Mikkelsen et al., 2020)","noteIndex":0},"citationItems":[{"id":1394,"uris":["http://zotero.org/users/5664472/items/B7XZHQSC"],"itemData":{"id":1394,"type":"webpage","abstract":"General Data Protection Regulation – Final legal text of the Regulation (EU) 2016/679 (EU GDPR). The official PDF and its recitals as a neatly arranged website. Additionally key issues of the GDPR are explained and further information from the data protection authorities is provided.","container-title":"General Data Protection Regulation (GDPR)","language":"en-US","title":"General Data Protection Regulation","title-short":"GDPR","URL":"https://gdpr-info.eu/","accessed":{"date-parts":[["2019",5,5]]},"issued":{"date-parts":[["2018",5,25]]}}},{"id":1160,"uris":["http://zotero.org/users/5664472/items/PTC77UF6"],"itemData":{"id":1160,"type":"webpage","abstract":"How can European companies best prevent measures intended to control the COVID-19 pandemic from also undermining data privacy and security?","language":"en","note":"source: www.mckinsey.com","title":"Privacy, security, and public health in a pandemic year","URL":"https://www.mckinsey.com/business-functions/risk/our-insights/privacy-security-and-public-health-in-a-pandemic-year","author":[{"family":"Mikkelsen","given":"Daniel"},{"family":"Soller","given":"Henning"},{"family":"Strandell-Jansson","given":"Malin"}],"accessed":{"date-parts":[["2020",6,24]]},"issued":{"date-parts":[["2020",6,15]]}}}],"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GDPR</w:t>
      </w:r>
      <w:r w:rsidR="00142517" w:rsidRPr="00142517">
        <w:rPr>
          <w:rFonts w:ascii="Times New Roman" w:hAnsi="Times New Roman" w:cs="Times New Roman"/>
          <w:sz w:val="20"/>
          <w:szCs w:val="24"/>
        </w:rPr>
        <w:t>, 2018; Mikkelsen et al., 2020)</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grow trust </w:t>
      </w:r>
      <w:r w:rsidR="00A6404A">
        <w:rPr>
          <w:rFonts w:asciiTheme="majorBidi" w:hAnsiTheme="majorBidi" w:cstheme="majorBidi"/>
          <w:sz w:val="20"/>
          <w:szCs w:val="20"/>
        </w:rPr>
        <w:t>among</w:t>
      </w:r>
      <w:r w:rsidRPr="00F71EA8">
        <w:rPr>
          <w:rFonts w:asciiTheme="majorBidi" w:hAnsiTheme="majorBidi" w:cstheme="majorBidi"/>
          <w:sz w:val="20"/>
          <w:szCs w:val="20"/>
        </w:rPr>
        <w:t xml:space="preserve"> </w:t>
      </w:r>
      <w:r w:rsidR="00A6404A">
        <w:rPr>
          <w:rFonts w:asciiTheme="majorBidi" w:hAnsiTheme="majorBidi" w:cstheme="majorBidi"/>
          <w:sz w:val="20"/>
          <w:szCs w:val="20"/>
        </w:rPr>
        <w:t>PHC users</w:t>
      </w:r>
      <w:r w:rsidRPr="00F71EA8">
        <w:rPr>
          <w:rFonts w:asciiTheme="majorBidi" w:hAnsiTheme="majorBidi" w:cstheme="majorBidi"/>
          <w:sz w:val="20"/>
          <w:szCs w:val="20"/>
        </w:rPr>
        <w:t xml:space="preserve">, and </w:t>
      </w:r>
      <w:r w:rsidR="00A6404A">
        <w:rPr>
          <w:rFonts w:asciiTheme="majorBidi" w:hAnsiTheme="majorBidi" w:cstheme="majorBidi"/>
          <w:sz w:val="20"/>
          <w:szCs w:val="20"/>
        </w:rPr>
        <w:t xml:space="preserve">encourage </w:t>
      </w:r>
      <w:r w:rsidRPr="00F71EA8">
        <w:rPr>
          <w:rFonts w:asciiTheme="majorBidi" w:hAnsiTheme="majorBidi" w:cstheme="majorBidi"/>
          <w:sz w:val="20"/>
          <w:szCs w:val="20"/>
        </w:rPr>
        <w:t xml:space="preserve">them </w:t>
      </w:r>
      <w:r w:rsidR="00A6404A">
        <w:rPr>
          <w:rFonts w:asciiTheme="majorBidi" w:hAnsiTheme="majorBidi" w:cstheme="majorBidi"/>
          <w:sz w:val="20"/>
          <w:szCs w:val="20"/>
        </w:rPr>
        <w:t>to</w:t>
      </w:r>
      <w:r w:rsidRPr="00F71EA8">
        <w:rPr>
          <w:rFonts w:asciiTheme="majorBidi" w:hAnsiTheme="majorBidi" w:cstheme="majorBidi"/>
          <w:sz w:val="20"/>
          <w:szCs w:val="20"/>
        </w:rPr>
        <w:t xml:space="preserve"> active </w:t>
      </w:r>
      <w:r w:rsidR="00A6404A">
        <w:rPr>
          <w:rFonts w:asciiTheme="majorBidi" w:hAnsiTheme="majorBidi" w:cstheme="majorBidi"/>
          <w:sz w:val="20"/>
          <w:szCs w:val="20"/>
        </w:rPr>
        <w:t>participation and engagement</w:t>
      </w:r>
      <w:r w:rsidRPr="00F71EA8">
        <w:rPr>
          <w:rFonts w:asciiTheme="majorBidi" w:hAnsiTheme="majorBidi" w:cstheme="majorBidi"/>
          <w:sz w:val="20"/>
          <w:szCs w:val="20"/>
        </w:rPr>
        <w:t>.</w:t>
      </w:r>
    </w:p>
    <w:p w14:paraId="6D0F1E78" w14:textId="77777777" w:rsidR="00F71EA8" w:rsidRPr="00F71EA8" w:rsidRDefault="00F71EA8" w:rsidP="00F71EA8">
      <w:pPr>
        <w:spacing w:after="0" w:line="240" w:lineRule="auto"/>
        <w:jc w:val="both"/>
        <w:rPr>
          <w:rFonts w:asciiTheme="majorBidi" w:hAnsiTheme="majorBidi" w:cstheme="majorBidi"/>
          <w:b/>
          <w:bCs/>
          <w:i/>
          <w:iCs/>
          <w:sz w:val="20"/>
          <w:szCs w:val="20"/>
        </w:rPr>
      </w:pPr>
      <w:r w:rsidRPr="00F71EA8">
        <w:rPr>
          <w:rFonts w:asciiTheme="majorBidi" w:hAnsiTheme="majorBidi" w:cstheme="majorBidi"/>
          <w:b/>
          <w:bCs/>
          <w:i/>
          <w:iCs/>
          <w:sz w:val="20"/>
          <w:szCs w:val="20"/>
        </w:rPr>
        <w:t>Traceability</w:t>
      </w:r>
    </w:p>
    <w:p w14:paraId="37F5C06A" w14:textId="0DB4DBD2" w:rsidR="00F71EA8" w:rsidRPr="00F71EA8" w:rsidRDefault="00F71EA8" w:rsidP="00A42355">
      <w:pPr>
        <w:spacing w:line="240" w:lineRule="auto"/>
        <w:jc w:val="both"/>
        <w:rPr>
          <w:rFonts w:asciiTheme="majorBidi" w:hAnsiTheme="majorBidi" w:cstheme="majorBidi"/>
          <w:sz w:val="20"/>
          <w:szCs w:val="20"/>
        </w:rPr>
      </w:pPr>
      <w:r w:rsidRPr="00F71EA8">
        <w:rPr>
          <w:rFonts w:asciiTheme="majorBidi" w:hAnsiTheme="majorBidi" w:cstheme="majorBidi"/>
          <w:sz w:val="20"/>
          <w:szCs w:val="20"/>
        </w:rPr>
        <w:t xml:space="preserve">In today's data-driven </w:t>
      </w:r>
      <w:r w:rsidR="00E06D73">
        <w:rPr>
          <w:rFonts w:asciiTheme="majorBidi" w:hAnsiTheme="majorBidi" w:cstheme="majorBidi"/>
          <w:sz w:val="20"/>
          <w:szCs w:val="20"/>
        </w:rPr>
        <w:t>environment</w:t>
      </w:r>
      <w:r w:rsidRPr="00F71EA8">
        <w:rPr>
          <w:rFonts w:asciiTheme="majorBidi" w:hAnsiTheme="majorBidi" w:cstheme="majorBidi"/>
          <w:sz w:val="20"/>
          <w:szCs w:val="20"/>
        </w:rPr>
        <w:t xml:space="preserve">, </w:t>
      </w:r>
      <w:r w:rsidR="00E06D73">
        <w:rPr>
          <w:rFonts w:asciiTheme="majorBidi" w:hAnsiTheme="majorBidi" w:cstheme="majorBidi"/>
          <w:sz w:val="20"/>
          <w:szCs w:val="20"/>
        </w:rPr>
        <w:t>PHC</w:t>
      </w:r>
      <w:r w:rsidRPr="00F71EA8">
        <w:rPr>
          <w:rFonts w:asciiTheme="majorBidi" w:hAnsiTheme="majorBidi" w:cstheme="majorBidi"/>
          <w:sz w:val="20"/>
          <w:szCs w:val="20"/>
        </w:rPr>
        <w:t xml:space="preserve"> service need</w:t>
      </w:r>
      <w:r w:rsidR="00E06D73">
        <w:rPr>
          <w:rFonts w:asciiTheme="majorBidi" w:hAnsiTheme="majorBidi" w:cstheme="majorBidi"/>
          <w:sz w:val="20"/>
          <w:szCs w:val="20"/>
        </w:rPr>
        <w:t>s</w:t>
      </w:r>
      <w:r w:rsidRPr="00F71EA8">
        <w:rPr>
          <w:rFonts w:asciiTheme="majorBidi" w:hAnsiTheme="majorBidi" w:cstheme="majorBidi"/>
          <w:sz w:val="20"/>
          <w:szCs w:val="20"/>
        </w:rPr>
        <w:t xml:space="preserve"> to be</w:t>
      </w:r>
      <w:r w:rsidR="00E06D73">
        <w:rPr>
          <w:rFonts w:asciiTheme="majorBidi" w:hAnsiTheme="majorBidi" w:cstheme="majorBidi"/>
          <w:sz w:val="20"/>
          <w:szCs w:val="20"/>
        </w:rPr>
        <w:t xml:space="preserve"> </w:t>
      </w:r>
      <w:r w:rsidR="00E06D73" w:rsidRPr="00F71EA8">
        <w:rPr>
          <w:rFonts w:asciiTheme="majorBidi" w:hAnsiTheme="majorBidi" w:cstheme="majorBidi"/>
          <w:sz w:val="20"/>
          <w:szCs w:val="20"/>
        </w:rPr>
        <w:t>digital tracking</w:t>
      </w:r>
      <w:r w:rsidRPr="00F71EA8">
        <w:rPr>
          <w:rFonts w:asciiTheme="majorBidi" w:hAnsiTheme="majorBidi" w:cstheme="majorBidi"/>
          <w:sz w:val="20"/>
          <w:szCs w:val="20"/>
        </w:rPr>
        <w:t xml:space="preserve"> </w:t>
      </w:r>
      <w:r w:rsidR="00E06D73">
        <w:rPr>
          <w:rFonts w:asciiTheme="majorBidi" w:hAnsiTheme="majorBidi" w:cstheme="majorBidi"/>
          <w:sz w:val="20"/>
          <w:szCs w:val="20"/>
        </w:rPr>
        <w:t xml:space="preserve">enabled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{"citationID":"ze0MB1ys","properties":{"formattedCitation":"(Agarwal et al., 2018; {\\i{}WHO}, 2018; Fr\\uc0\\u248{}en et al., 2016)","plainCitation":"(Agarwal et al., 2018; WHO, 2018; Frøen et al., 2016)","noteIndex":0},"citationItems":[{"id":1390,"uris":["http://zotero.org/users/5664472/items/QB46G6LX"],"itemData":{"id":1390,"type":"document","abstract":"A shared language to describe the uses of digital technology for health","language":"English","publisher":"World Health Organization","title":"Classification of Digital Health Interventions v 1.0","title-short":"WHO","URL":"https://apps.who.int/iris/bitstream/handle/10665/260480/WHO-RHR-18.06-eng.pdf","accessed":{"date-parts":[["2020",8,11]]},"issued":{"date-parts":[["2018"]]}}},{"id":1121,"uris":["http://zotero.org/users/5664472/items/22JRVG5E"],"itemData":{"id":1121,"type":"article-journal","abstract":"This is a protocol for a Cochrane Review (Intervention). The objectives are as follows:, In the context of primary healthcare settings, we aim to assess:, \n          \n            \n              effects of digitally tracking clients' health service use and status combined with decision support conducted via mobile device;\n            \n            \n              effects of digitally tracking clients’ health service use and status combined with TCCs accessible via mobile device; and\n            \n            \n              effects of digitally tracking clients' health service use and status combined with decision support conducted via mobile device and TCCs accessible via mobile device.","container-title":"The Cochrane Database of Systematic Reviews","DOI":"10.1002/14651858.CD012925","ISSN":"1469-493X","issue":"1","journalAbbreviation":"Cochrane Database Syst Rev","note":"PMID: null\nPMCID: PMC6491088","source":"PubMed Central","title":"Digital tracking, provider decision support systems, and targeted client communication via mobile devices to improve primary health care","URL":"https://www.ncbi.nlm.nih.gov/pmc/articles/PMC6491088/","volume":"2018","author":[{"family":"Agarwal","given":"Smisha"},{"family":"Vasudevan","given":"Lavanya"},{"family":"Tamrat","given":"Tigest"},{"family":"Glenton","given":"Claire"},{"family":"Lewin","given":"Simon"},{"family":"Bergman","given":"Hanna"},{"family":"Henschke","given":"Nicholas"},{"family":"Mehl","given":"Garrett L"},{"family":"Fønhus","given":"Marita S"}],"accessed":{"date-parts":[["2020",8,11]]},"issued":{"date-parts":[["2018",1,18]]}}},{"id":1122,"uris":["http://zotero.org/users/5664472/items/UX3MNJW2"],"itemData":{"id":1122,"type":"article-journal","abstract":"The Global Roadmap for Health Measurement and Accountability sees integrated systems for health information as key to obtaining seamless, sustainable, and secure information exchanges at all levels of health systems. The Global Strategy for Women’s, Children’s and Adolescent’s Health aims to achieve a continuum of quality of care with effective coverage of interventions. The WHO and World Bank recommend that countries focus on intervention coverage to monitor programs and progress for universal health coverage. Electronic health registries - eRegistries - represent integrated systems that secure a triple return on investments: First, effective single data collection for health workers to seamlessly follow individuals along the continuum of care and across disconnected cadres of care providers. Second, real-time public health surveillance and monitoring of intervention coverage, and third, feedback of information to individuals, care providers and the public for transparent accountability. This series on eRegistries presents frameworks and tools to facilitate the development and secure operation of eRegistries for maternal and child health.","container-title":"BMC Pregnancy and Childbirth","DOI":"10.1186/s12884-016-0801-7","ISSN":"1471-2393","issue":"1","journalAbbreviation":"BMC Pregnancy and Childbirth","page":"11","source":"BioMed Central","title":"eRegistries: Electronic registries for maternal and child health","title-short":"eRegistries","volume":"16","author":[{"family":"Frøen","given":"J. Frederik"},{"family":"Myhre","given":"Sonja L."},{"family":"Frost","given":"Michael J."},{"family":"Chou","given":"Doris"},{"family":"Mehl","given":"Garrett"},{"family":"Say","given":"Lale"},{"family":"Cheng","given":"Socheat"},{"family":"Fjeldheim","given":"Ingvild"},{"family":"Friberg","given":"Ingrid K."},{"family":"French","given":"Steve"},{"family":"Jani","given":"Jagrati V."},{"family":"Kaye","given":"Jane"},{"family":"Lewis","given":"John"},{"family":"Lunde","given":"Ane"},{"family":"Mørkrid","given":"Kjersti"},{"family":"Nankabirwa","given":"Victoria"},{"family":"Nyanchoka","given":"Linda"},{"family":"Stone","given":"Hollie"},{"family":"Venkateswaran","given":"Mahima"},{"family":"Wojcieszek","given":"Aleena M."},{"family":"Temmerman","given":"Marleen"},{"family":"Flenady","given":"Vicki J."}],"issued":{"date-parts":[["2016",1,19]]}}}],"schema":"https://github.com/citation-style-language/schema/raw/master/csl-citation.json"}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 xml:space="preserve">(Agarwal et al., 2018; </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2018; Frøen et al., 2016)</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t>
      </w:r>
      <w:r w:rsidR="00E06D73">
        <w:rPr>
          <w:rFonts w:asciiTheme="majorBidi" w:hAnsiTheme="majorBidi" w:cstheme="majorBidi"/>
          <w:sz w:val="20"/>
          <w:szCs w:val="20"/>
        </w:rPr>
        <w:t>It</w:t>
      </w:r>
      <w:r w:rsidRPr="00F71EA8">
        <w:rPr>
          <w:rFonts w:asciiTheme="majorBidi" w:hAnsiTheme="majorBidi" w:cstheme="majorBidi"/>
          <w:sz w:val="20"/>
          <w:szCs w:val="20"/>
        </w:rPr>
        <w:t xml:space="preserve"> is potential to</w:t>
      </w:r>
      <w:r w:rsidR="00A42355">
        <w:rPr>
          <w:rFonts w:asciiTheme="majorBidi" w:hAnsiTheme="majorBidi" w:cstheme="majorBidi"/>
          <w:sz w:val="20"/>
          <w:szCs w:val="20"/>
        </w:rPr>
        <w:t>:</w:t>
      </w:r>
      <w:r w:rsidRPr="00F71EA8">
        <w:rPr>
          <w:rFonts w:asciiTheme="majorBidi" w:hAnsiTheme="majorBidi" w:cstheme="majorBidi"/>
          <w:sz w:val="20"/>
          <w:szCs w:val="20"/>
        </w:rPr>
        <w:t xml:space="preserve"> a) </w:t>
      </w:r>
      <w:r w:rsidR="00E06D73">
        <w:rPr>
          <w:rFonts w:asciiTheme="majorBidi" w:hAnsiTheme="majorBidi" w:cstheme="majorBidi"/>
          <w:sz w:val="20"/>
          <w:szCs w:val="20"/>
        </w:rPr>
        <w:t>reduce</w:t>
      </w:r>
      <w:r w:rsidRPr="00F71EA8">
        <w:rPr>
          <w:rFonts w:asciiTheme="majorBidi" w:hAnsiTheme="majorBidi" w:cstheme="majorBidi"/>
          <w:sz w:val="20"/>
          <w:szCs w:val="20"/>
        </w:rPr>
        <w:t xml:space="preserve"> delays in care delivery</w:t>
      </w:r>
      <w:r w:rsidR="00E06D73">
        <w:rPr>
          <w:rFonts w:asciiTheme="majorBidi" w:hAnsiTheme="majorBidi" w:cstheme="majorBidi"/>
          <w:sz w:val="20"/>
          <w:szCs w:val="20"/>
        </w:rPr>
        <w:t xml:space="preserve"> and </w:t>
      </w:r>
      <w:r w:rsidR="00E06D73" w:rsidRPr="00F71EA8">
        <w:rPr>
          <w:rFonts w:asciiTheme="majorBidi" w:hAnsiTheme="majorBidi" w:cstheme="majorBidi"/>
          <w:sz w:val="20"/>
          <w:szCs w:val="20"/>
        </w:rPr>
        <w:t>treatment</w:t>
      </w:r>
      <w:r w:rsidRPr="00F71EA8">
        <w:rPr>
          <w:rFonts w:asciiTheme="majorBidi" w:hAnsiTheme="majorBidi" w:cstheme="majorBidi"/>
          <w:sz w:val="20"/>
          <w:szCs w:val="20"/>
        </w:rPr>
        <w:t xml:space="preserve">; b) </w:t>
      </w:r>
      <w:r w:rsidR="00E06D73">
        <w:rPr>
          <w:rFonts w:asciiTheme="majorBidi" w:hAnsiTheme="majorBidi" w:cstheme="majorBidi"/>
          <w:sz w:val="20"/>
          <w:szCs w:val="20"/>
        </w:rPr>
        <w:t xml:space="preserve">provide </w:t>
      </w:r>
      <w:r w:rsidRPr="00F71EA8">
        <w:rPr>
          <w:rFonts w:asciiTheme="majorBidi" w:hAnsiTheme="majorBidi" w:cstheme="majorBidi"/>
          <w:sz w:val="20"/>
          <w:szCs w:val="20"/>
        </w:rPr>
        <w:t>assist</w:t>
      </w:r>
      <w:r w:rsidR="00E06D73">
        <w:rPr>
          <w:rFonts w:asciiTheme="majorBidi" w:hAnsiTheme="majorBidi" w:cstheme="majorBidi"/>
          <w:sz w:val="20"/>
          <w:szCs w:val="20"/>
        </w:rPr>
        <w:t>ance</w:t>
      </w:r>
      <w:r w:rsidRPr="00F71EA8">
        <w:rPr>
          <w:rFonts w:asciiTheme="majorBidi" w:hAnsiTheme="majorBidi" w:cstheme="majorBidi"/>
          <w:sz w:val="20"/>
          <w:szCs w:val="20"/>
        </w:rPr>
        <w:t xml:space="preserve"> </w:t>
      </w:r>
      <w:r w:rsidR="00E06D73">
        <w:rPr>
          <w:rFonts w:asciiTheme="majorBidi" w:hAnsiTheme="majorBidi" w:cstheme="majorBidi"/>
          <w:sz w:val="20"/>
          <w:szCs w:val="20"/>
        </w:rPr>
        <w:t xml:space="preserve">to the </w:t>
      </w:r>
      <w:r w:rsidRPr="00F71EA8">
        <w:rPr>
          <w:rFonts w:asciiTheme="majorBidi" w:hAnsiTheme="majorBidi" w:cstheme="majorBidi"/>
          <w:sz w:val="20"/>
          <w:szCs w:val="20"/>
        </w:rPr>
        <w:t>health practitioners in decision</w:t>
      </w:r>
      <w:r w:rsidR="00A42355">
        <w:rPr>
          <w:rFonts w:asciiTheme="majorBidi" w:hAnsiTheme="majorBidi" w:cstheme="majorBidi"/>
          <w:sz w:val="20"/>
          <w:szCs w:val="20"/>
        </w:rPr>
        <w:t>-</w:t>
      </w:r>
      <w:r w:rsidRPr="00F71EA8">
        <w:rPr>
          <w:rFonts w:asciiTheme="majorBidi" w:hAnsiTheme="majorBidi" w:cstheme="majorBidi"/>
          <w:sz w:val="20"/>
          <w:szCs w:val="20"/>
        </w:rPr>
        <w:t>making at the point</w:t>
      </w:r>
      <w:r w:rsidR="00E06D73">
        <w:rPr>
          <w:rFonts w:asciiTheme="majorBidi" w:hAnsiTheme="majorBidi" w:cstheme="majorBidi"/>
          <w:sz w:val="20"/>
          <w:szCs w:val="20"/>
        </w:rPr>
        <w:t xml:space="preserve"> of care</w:t>
      </w:r>
      <w:r w:rsidRPr="00F71EA8">
        <w:rPr>
          <w:rFonts w:asciiTheme="majorBidi" w:hAnsiTheme="majorBidi" w:cstheme="majorBidi"/>
          <w:sz w:val="20"/>
          <w:szCs w:val="20"/>
        </w:rPr>
        <w:t xml:space="preserve">; c) </w:t>
      </w:r>
      <w:r w:rsidR="00E06D73">
        <w:rPr>
          <w:rFonts w:asciiTheme="majorBidi" w:hAnsiTheme="majorBidi" w:cstheme="majorBidi"/>
          <w:sz w:val="20"/>
          <w:szCs w:val="20"/>
        </w:rPr>
        <w:t>assist in</w:t>
      </w:r>
      <w:r w:rsidRPr="00F71EA8">
        <w:rPr>
          <w:rFonts w:asciiTheme="majorBidi" w:hAnsiTheme="majorBidi" w:cstheme="majorBidi"/>
          <w:sz w:val="20"/>
          <w:szCs w:val="20"/>
        </w:rPr>
        <w:t xml:space="preserve"> </w:t>
      </w:r>
      <w:r w:rsidR="00A42355">
        <w:rPr>
          <w:rFonts w:asciiTheme="majorBidi" w:hAnsiTheme="majorBidi" w:cstheme="majorBidi"/>
          <w:sz w:val="20"/>
          <w:szCs w:val="20"/>
        </w:rPr>
        <w:t xml:space="preserve">the </w:t>
      </w:r>
      <w:r w:rsidRPr="00F71EA8">
        <w:rPr>
          <w:rFonts w:asciiTheme="majorBidi" w:hAnsiTheme="majorBidi" w:cstheme="majorBidi"/>
          <w:sz w:val="20"/>
          <w:szCs w:val="20"/>
        </w:rPr>
        <w:t xml:space="preserve">personalised healthcare cycle; d) schedule follow-up </w:t>
      </w:r>
      <w:r w:rsidR="00E06D73">
        <w:rPr>
          <w:rFonts w:asciiTheme="majorBidi" w:hAnsiTheme="majorBidi" w:cstheme="majorBidi"/>
          <w:sz w:val="20"/>
          <w:szCs w:val="20"/>
        </w:rPr>
        <w:t>appointments</w:t>
      </w:r>
      <w:r w:rsidRPr="00F71EA8">
        <w:rPr>
          <w:rFonts w:asciiTheme="majorBidi" w:hAnsiTheme="majorBidi" w:cstheme="majorBidi"/>
          <w:sz w:val="20"/>
          <w:szCs w:val="20"/>
        </w:rPr>
        <w:t xml:space="preserve"> and other </w:t>
      </w:r>
      <w:r w:rsidR="00E06D73">
        <w:rPr>
          <w:rFonts w:asciiTheme="majorBidi" w:hAnsiTheme="majorBidi" w:cstheme="majorBidi"/>
          <w:sz w:val="20"/>
          <w:szCs w:val="20"/>
        </w:rPr>
        <w:t>related</w:t>
      </w:r>
      <w:r w:rsidRPr="00F71EA8">
        <w:rPr>
          <w:rFonts w:asciiTheme="majorBidi" w:hAnsiTheme="majorBidi" w:cstheme="majorBidi"/>
          <w:sz w:val="20"/>
          <w:szCs w:val="20"/>
        </w:rPr>
        <w:t xml:space="preserve"> services (e.g. pathological tests</w:t>
      </w:r>
      <w:r w:rsidR="00E06D73">
        <w:rPr>
          <w:rFonts w:asciiTheme="majorBidi" w:hAnsiTheme="majorBidi" w:cstheme="majorBidi"/>
          <w:sz w:val="20"/>
          <w:szCs w:val="20"/>
        </w:rPr>
        <w:t xml:space="preserve">, </w:t>
      </w:r>
      <w:r w:rsidR="00E06D73" w:rsidRPr="00F71EA8">
        <w:rPr>
          <w:rFonts w:asciiTheme="majorBidi" w:hAnsiTheme="majorBidi" w:cstheme="majorBidi"/>
          <w:sz w:val="20"/>
          <w:szCs w:val="20"/>
        </w:rPr>
        <w:t>diagnosis</w:t>
      </w:r>
      <w:r w:rsidRPr="00F71EA8">
        <w:rPr>
          <w:rFonts w:asciiTheme="majorBidi" w:hAnsiTheme="majorBidi" w:cstheme="majorBidi"/>
          <w:sz w:val="20"/>
          <w:szCs w:val="20"/>
        </w:rPr>
        <w:t xml:space="preserve">); e) </w:t>
      </w:r>
      <w:r w:rsidR="00E06D73">
        <w:rPr>
          <w:rFonts w:asciiTheme="majorBidi" w:hAnsiTheme="majorBidi" w:cstheme="majorBidi"/>
          <w:sz w:val="20"/>
          <w:szCs w:val="20"/>
        </w:rPr>
        <w:t>support</w:t>
      </w:r>
      <w:r w:rsidRPr="00F71EA8">
        <w:rPr>
          <w:rFonts w:asciiTheme="majorBidi" w:hAnsiTheme="majorBidi" w:cstheme="majorBidi"/>
          <w:sz w:val="20"/>
          <w:szCs w:val="20"/>
        </w:rPr>
        <w:t xml:space="preserve"> in </w:t>
      </w:r>
      <w:r w:rsidR="00E06D73">
        <w:rPr>
          <w:rFonts w:asciiTheme="majorBidi" w:hAnsiTheme="majorBidi" w:cstheme="majorBidi"/>
          <w:sz w:val="20"/>
          <w:szCs w:val="20"/>
        </w:rPr>
        <w:t>organi</w:t>
      </w:r>
      <w:r w:rsidR="00A42355">
        <w:rPr>
          <w:rFonts w:asciiTheme="majorBidi" w:hAnsiTheme="majorBidi" w:cstheme="majorBidi"/>
          <w:sz w:val="20"/>
          <w:szCs w:val="20"/>
        </w:rPr>
        <w:t>s</w:t>
      </w:r>
      <w:r w:rsidR="00E06D73">
        <w:rPr>
          <w:rFonts w:asciiTheme="majorBidi" w:hAnsiTheme="majorBidi" w:cstheme="majorBidi"/>
          <w:sz w:val="20"/>
          <w:szCs w:val="20"/>
        </w:rPr>
        <w:t>ing</w:t>
      </w:r>
      <w:r w:rsidRPr="00F71EA8">
        <w:rPr>
          <w:rFonts w:asciiTheme="majorBidi" w:hAnsiTheme="majorBidi" w:cstheme="majorBidi"/>
          <w:sz w:val="20"/>
          <w:szCs w:val="20"/>
        </w:rPr>
        <w:t xml:space="preserve"> checklists for ca</w:t>
      </w:r>
      <w:r w:rsidR="00E06D73">
        <w:rPr>
          <w:rFonts w:asciiTheme="majorBidi" w:hAnsiTheme="majorBidi" w:cstheme="majorBidi"/>
          <w:sz w:val="20"/>
          <w:szCs w:val="20"/>
        </w:rPr>
        <w:t>re</w:t>
      </w:r>
      <w:r w:rsidRPr="00F71EA8">
        <w:rPr>
          <w:rFonts w:asciiTheme="majorBidi" w:hAnsiTheme="majorBidi" w:cstheme="majorBidi"/>
          <w:sz w:val="20"/>
          <w:szCs w:val="20"/>
        </w:rPr>
        <w:t xml:space="preserve"> management; and f) </w:t>
      </w:r>
      <w:r w:rsidR="00BB1B7D">
        <w:rPr>
          <w:rFonts w:asciiTheme="majorBidi" w:hAnsiTheme="majorBidi" w:cstheme="majorBidi"/>
          <w:sz w:val="20"/>
          <w:szCs w:val="20"/>
        </w:rPr>
        <w:t>decrease cost and</w:t>
      </w:r>
      <w:r w:rsidRPr="00F71EA8">
        <w:rPr>
          <w:rFonts w:asciiTheme="majorBidi" w:hAnsiTheme="majorBidi" w:cstheme="majorBidi"/>
          <w:sz w:val="20"/>
          <w:szCs w:val="20"/>
        </w:rPr>
        <w:t xml:space="preserve"> time of healthcare delivery at </w:t>
      </w:r>
      <w:r w:rsidR="00BB1B7D">
        <w:rPr>
          <w:rFonts w:asciiTheme="majorBidi" w:hAnsiTheme="majorBidi" w:cstheme="majorBidi"/>
          <w:sz w:val="20"/>
          <w:szCs w:val="20"/>
        </w:rPr>
        <w:t>rural</w:t>
      </w:r>
      <w:r w:rsidRPr="00F71EA8">
        <w:rPr>
          <w:rFonts w:asciiTheme="majorBidi" w:hAnsiTheme="majorBidi" w:cstheme="majorBidi"/>
          <w:sz w:val="20"/>
          <w:szCs w:val="20"/>
        </w:rPr>
        <w:t xml:space="preserve"> settings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{"citationID":"eQJrH5Vp","properties":{"formattedCitation":"({\\i{}WHO}, 2019)","plainCitation":"(WHO, 2019)","noteIndex":0},"citationItems":[{"id":1197,"uris":["http://zotero.org/users/5664472/items/XVMT74DN"],"itemData":{"id":1197,"type":"book","abstract":"The key aim of this guideline is to present recommendations based on a critical evaluation of the evidence on emerging digital health interventions that are contributing to health system improvements, based on an assessment of the benefits, harms, acceptability, feasibility, resource use and equity considerations. This guideline urges readers to recognize that digital health interventions are not a substitute for functioning health systems, and that there are significant limitations to what digital health is able to address.","collection-number":"CC BY-NC-SA 3.0 IGO","event-place":"Geneva","language":"en","note":"OCLC: 1126668274","publisher":"World Health Organization","publisher-place":"Geneva","source":"Open WorldCat","title":"WHO guideline: recommendations on digital interventions for health system strengthening","title-short":"WHO","URL":"http://www.ncbi.nlm.nih.gov/books/NBK541902/","accessed":{"date-parts":[["2020",6,3]]},"issued":{"date-parts":[["2019"]]}}}],"schema":"https://github.com/citation-style-language/schema/raw/master/csl-citation.json"}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Digital tracking is significant in a data-driven society to attract users and engage them in digital health services for care management and decision-making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{"citationID":"ko7OLMSy","properties":{"formattedCitation":"({\\i{}TEFCA}, 2018)","plainCitation":"(TEFCA, 2018)","noteIndex":0},"citationItems":[{"id":1393,"uris":["http://zotero.org/users/5664472/items/HE6NM5ZZ"],"itemData":{"id":1393,"type":"report","language":"English","publisher":"The Office of the National Coordinator for Health Information Technology","title":"Trusted Exchange Framework and Common Agreement (TEFCA) Draft 2","title-short":"TEFCA","URL":"https://www.healthit.gov/sites/default/files/page/2019-04/TEFCADraft2UsersGuide.pdf","accessed":{"date-parts":[["2020",6,17]]},"issued":{"date-parts":[["2018"]]}}}],"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TEFCA</w:t>
      </w:r>
      <w:r w:rsidR="00142517" w:rsidRPr="00142517">
        <w:rPr>
          <w:rFonts w:ascii="Times New Roman" w:hAnsi="Times New Roman" w:cs="Times New Roman"/>
          <w:sz w:val="20"/>
          <w:szCs w:val="24"/>
        </w:rPr>
        <w:t>, 2018)</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WHO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{"citationID":"OoW1VmP2","properties":{"formattedCitation":"({\\i{}WHO}, 2019)","plainCitation":"(WHO, 2019)","noteIndex":0},"citationItems":[{"id":1197,"uris":["http://zotero.org/users/5664472/items/XVMT74DN"],"itemData":{"id":1197,"type":"book","abstract":"The key aim of this guideline is to present recommendations based on a critical evaluation of the evidence on emerging digital health interventions that are contributing to health system improvements, based on an assessment of the benefits, harms, acceptability, feasibility, resource use and equity considerations. This guideline urges readers to recognize that digital health interventions are not a substitute for functioning health systems, and that there are significant limitations to what digital health is able to address.","collection-number":"CC BY-NC-SA 3.0 IGO","event-place":"Geneva","language":"en","note":"OCLC: 1126668274","publisher":"World Health Organization","publisher-place":"Geneva","source":"Open WorldCat","title":"WHO guideline: recommendations on digital interventions for health system strengthening","title-short":"WHO","URL":"http://www.ncbi.nlm.nih.gov/books/NBK541902/","accessed":{"date-parts":[["2020",6,3]]},"issued":{"date-parts":[["2019"]]}}}],"schema":"https://github.com/citation-style-language/schema/raw/master/csl-citation.json"}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t>
      </w:r>
      <w:r w:rsidRPr="00F71EA8">
        <w:rPr>
          <w:rFonts w:asciiTheme="majorBidi" w:hAnsiTheme="majorBidi" w:cstheme="majorBidi"/>
          <w:sz w:val="20"/>
          <w:szCs w:val="20"/>
        </w:rPr>
        <w:lastRenderedPageBreak/>
        <w:t xml:space="preserve">recommends digital tracking in sharing health status and other related services (e.g. </w:t>
      </w:r>
      <w:r w:rsidR="0044344B">
        <w:rPr>
          <w:rFonts w:asciiTheme="majorBidi" w:hAnsiTheme="majorBidi" w:cstheme="majorBidi"/>
          <w:sz w:val="20"/>
          <w:szCs w:val="20"/>
        </w:rPr>
        <w:t xml:space="preserve">payment, </w:t>
      </w:r>
      <w:r w:rsidRPr="00F71EA8">
        <w:rPr>
          <w:rFonts w:asciiTheme="majorBidi" w:hAnsiTheme="majorBidi" w:cstheme="majorBidi"/>
          <w:sz w:val="20"/>
          <w:szCs w:val="20"/>
        </w:rPr>
        <w:t>appointment scheduling).</w:t>
      </w:r>
      <w:r w:rsidR="00A42355">
        <w:rPr>
          <w:rFonts w:asciiTheme="majorBidi" w:hAnsiTheme="majorBidi" w:cstheme="majorBidi"/>
          <w:sz w:val="20"/>
          <w:szCs w:val="20"/>
        </w:rPr>
        <w:t xml:space="preserve"> </w:t>
      </w:r>
      <w:r w:rsidRPr="00F71EA8">
        <w:rPr>
          <w:rFonts w:asciiTheme="majorBidi" w:hAnsiTheme="majorBidi" w:cstheme="majorBidi"/>
          <w:sz w:val="20"/>
          <w:szCs w:val="20"/>
        </w:rPr>
        <w:t xml:space="preserve">Digital tracking should </w:t>
      </w:r>
      <w:r w:rsidR="00512C5B">
        <w:rPr>
          <w:rFonts w:asciiTheme="majorBidi" w:hAnsiTheme="majorBidi" w:cstheme="majorBidi"/>
          <w:sz w:val="20"/>
          <w:szCs w:val="20"/>
        </w:rPr>
        <w:t>maintain</w:t>
      </w:r>
      <w:r w:rsidRPr="00F71EA8">
        <w:rPr>
          <w:rFonts w:asciiTheme="majorBidi" w:hAnsiTheme="majorBidi" w:cstheme="majorBidi"/>
          <w:sz w:val="20"/>
          <w:szCs w:val="20"/>
        </w:rPr>
        <w:t xml:space="preserve"> strict data confidentiality. </w:t>
      </w:r>
      <w:r w:rsidR="00512C5B">
        <w:rPr>
          <w:rFonts w:asciiTheme="majorBidi" w:hAnsiTheme="majorBidi" w:cstheme="majorBidi"/>
          <w:sz w:val="20"/>
          <w:szCs w:val="20"/>
        </w:rPr>
        <w:t>PHC service</w:t>
      </w:r>
      <w:r w:rsidRPr="00F71EA8">
        <w:rPr>
          <w:rFonts w:asciiTheme="majorBidi" w:hAnsiTheme="majorBidi" w:cstheme="majorBidi"/>
          <w:sz w:val="20"/>
          <w:szCs w:val="20"/>
        </w:rPr>
        <w:t xml:space="preserve"> should incorporate appropriate technological solutions (</w:t>
      </w:r>
      <w:r w:rsidR="00512C5B">
        <w:rPr>
          <w:rFonts w:asciiTheme="majorBidi" w:hAnsiTheme="majorBidi" w:cstheme="majorBidi"/>
          <w:sz w:val="20"/>
          <w:szCs w:val="20"/>
        </w:rPr>
        <w:t xml:space="preserve">e.g. </w:t>
      </w:r>
      <w:r w:rsidRPr="00F71EA8">
        <w:rPr>
          <w:rFonts w:asciiTheme="majorBidi" w:hAnsiTheme="majorBidi" w:cstheme="majorBidi"/>
          <w:sz w:val="20"/>
          <w:szCs w:val="20"/>
        </w:rPr>
        <w:t xml:space="preserve">Artificial Intelligence, </w:t>
      </w:r>
      <w:r w:rsidR="00512C5B">
        <w:rPr>
          <w:rFonts w:asciiTheme="majorBidi" w:hAnsiTheme="majorBidi" w:cstheme="majorBidi"/>
          <w:sz w:val="20"/>
          <w:szCs w:val="20"/>
        </w:rPr>
        <w:t>Blockchain</w:t>
      </w:r>
      <w:r w:rsidRPr="00F71EA8">
        <w:rPr>
          <w:rFonts w:asciiTheme="majorBidi" w:hAnsiTheme="majorBidi" w:cstheme="majorBidi"/>
          <w:sz w:val="20"/>
          <w:szCs w:val="20"/>
        </w:rPr>
        <w:t xml:space="preserve">) to </w:t>
      </w:r>
      <w:r w:rsidR="00512C5B">
        <w:rPr>
          <w:rFonts w:asciiTheme="majorBidi" w:hAnsiTheme="majorBidi" w:cstheme="majorBidi"/>
          <w:sz w:val="20"/>
          <w:szCs w:val="20"/>
        </w:rPr>
        <w:t>confirm</w:t>
      </w:r>
      <w:r w:rsidRPr="00F71EA8">
        <w:rPr>
          <w:rFonts w:asciiTheme="majorBidi" w:hAnsiTheme="majorBidi" w:cstheme="majorBidi"/>
          <w:sz w:val="20"/>
          <w:szCs w:val="20"/>
        </w:rPr>
        <w:t xml:space="preserve"> the </w:t>
      </w:r>
      <w:r w:rsidR="00A42355">
        <w:rPr>
          <w:rFonts w:asciiTheme="majorBidi" w:hAnsiTheme="majorBidi" w:cstheme="majorBidi"/>
          <w:sz w:val="20"/>
          <w:szCs w:val="20"/>
        </w:rPr>
        <w:t>users' data privacy and confidentiality</w:t>
      </w:r>
      <w:r w:rsidRPr="00F71EA8">
        <w:rPr>
          <w:rFonts w:asciiTheme="majorBidi" w:hAnsiTheme="majorBidi" w:cstheme="majorBidi"/>
          <w:sz w:val="20"/>
          <w:szCs w:val="20"/>
        </w:rPr>
        <w:t xml:space="preserve">. Digital health services should </w:t>
      </w:r>
      <w:r w:rsidR="00512C5B">
        <w:rPr>
          <w:rFonts w:asciiTheme="majorBidi" w:hAnsiTheme="majorBidi" w:cstheme="majorBidi"/>
          <w:sz w:val="20"/>
          <w:szCs w:val="20"/>
        </w:rPr>
        <w:t>be based on</w:t>
      </w:r>
      <w:r w:rsidRPr="00F71EA8">
        <w:rPr>
          <w:rFonts w:asciiTheme="majorBidi" w:hAnsiTheme="majorBidi" w:cstheme="majorBidi"/>
          <w:sz w:val="20"/>
          <w:szCs w:val="20"/>
        </w:rPr>
        <w:t xml:space="preserve"> </w:t>
      </w:r>
      <w:r w:rsidR="00A42355">
        <w:rPr>
          <w:rFonts w:asciiTheme="majorBidi" w:hAnsiTheme="majorBidi" w:cstheme="majorBidi"/>
          <w:sz w:val="20"/>
          <w:szCs w:val="20"/>
        </w:rPr>
        <w:t xml:space="preserve">a </w:t>
      </w:r>
      <w:r w:rsidRPr="00F71EA8">
        <w:rPr>
          <w:rFonts w:asciiTheme="majorBidi" w:hAnsiTheme="majorBidi" w:cstheme="majorBidi"/>
          <w:sz w:val="20"/>
          <w:szCs w:val="20"/>
        </w:rPr>
        <w:t xml:space="preserve">unique identity management system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{"citationID":"ScAyKxjW","properties":{"formattedCitation":"(Imison et al., 2016; {\\i{}WHO}, 2019; Yao et al., 2010)","plainCitation":"(Imison et al., 2016; WHO, 2019; Yao et al., 2010)","noteIndex":0},"citationItems":[{"id":1119,"uris":["http://zotero.org/users/5664472/items/5KTEB6LB"],"itemData":{"id":1119,"type":"report","event-place":"London","language":"en","page":"108","publisher":"Nuffield Trust","publisher-place":"London","source":"Zotero","title":"Delivering the Benefits of Digital Health Care","URL":"https://www.nuffieldtrust.org.uk/research/delivering-the-benefits-of-digital-health-care","author":[{"family":"Imison","given":"Candace"},{"family":"Castle-Clarke","given":"Sophie"},{"family":"Watson","given":"Robert"},{"family":"Edwards","given":"Nigel"}],"issued":{"date-parts":[["2016"]]}}},{"id":1197,"uris":["http://zotero.org/users/5664472/items/XVMT74DN"],"itemData":{"id":1197,"type":"book","abstract":"The key aim of this guideline is to present recommendations based on a critical evaluation of the evidence on emerging digital health interventions that are contributing to health system improvements, based on an assessment of the benefits, harms, acceptability, feasibility, resource use and equity considerations. This guideline urges readers to recognize that digital health interventions are not a substitute for functioning health systems, and that there are significant limitations to what digital health is able to address.","collection-number":"CC BY-NC-SA 3.0 IGO","event-place":"Geneva","language":"en","note":"OCLC: 1126668274","publisher":"World Health Organization","publisher-place":"Geneva","source":"Open WorldCat","title":"WHO guideline: recommendations on digital interventions for health system strengthening","title-short":"WHO","URL":"http://www.ncbi.nlm.nih.gov/books/NBK541902/","accessed":{"date-parts":[["2020",6,3]]},"issued":{"date-parts":[["2019"]]}}},{"id":1120,"uris":["http://zotero.org/users/5664472/items/U6KBT6KT"],"itemData":{"id":1120,"type":"paper-conference","abstract":"Radio Frequency Identification (RFID) technology not only offers tracking capability to locate equipment and people in real time, but also provides efficient and accurate access to medical data for doctors and other health professionals. However, the reality of RFID adoption is far behind earlier expectation. This study reviews the literature on RFID applications in healthcare based on a formal research framework. We aim to identify current opportunities, potential benefits and adoption barriers. Our study shows that most care providers indicated that RFID to be functional and useful in asset tracking and patient identification. Major barriers to RFID adoption in healthcare include prohibitive costs, technological limitations, and privacy concerns. Although RFID offers healthcare practitioners advantages to enhance clinical practice, better designed RFID systems are needed to increase acceptance and proper use of RFID in healthcare.","container-title":"2010 IEEE International Conference on RFID-Technology and Applications","DOI":"10.1109/RFID-TA.2010.5529874","event":"2010 IEEE International Conference on RFID-Technology and Applications","page":"128-134","source":"IEEE Xplore","title":"The use of RFID in healthcare: Benefits and barriers","title-short":"The use of RFID in healthcare","author":[{"family":"Yao","given":"Wen"},{"family":"Chu","given":"Chao-Hsien"},{"family":"Li","given":"Zang"}],"issued":{"date-parts":[["2010",6]]}}}],"schema":"https://github.com/citation-style-language/schema/raw/master/csl-citation.json"}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 xml:space="preserve">(Imison et al., 2016; </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2019; Yao et al., 2010)</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The unique identification </w:t>
      </w:r>
      <w:r w:rsidR="00512C5B">
        <w:rPr>
          <w:rFonts w:asciiTheme="majorBidi" w:hAnsiTheme="majorBidi" w:cstheme="majorBidi"/>
          <w:sz w:val="20"/>
          <w:szCs w:val="20"/>
        </w:rPr>
        <w:t xml:space="preserve">management </w:t>
      </w:r>
      <w:r w:rsidRPr="00F71EA8">
        <w:rPr>
          <w:rFonts w:asciiTheme="majorBidi" w:hAnsiTheme="majorBidi" w:cstheme="majorBidi"/>
          <w:sz w:val="20"/>
          <w:szCs w:val="20"/>
        </w:rPr>
        <w:t xml:space="preserve">system </w:t>
      </w:r>
      <w:r w:rsidR="00A42355">
        <w:rPr>
          <w:rFonts w:asciiTheme="majorBidi" w:hAnsiTheme="majorBidi" w:cstheme="majorBidi"/>
          <w:sz w:val="20"/>
          <w:szCs w:val="20"/>
        </w:rPr>
        <w:t xml:space="preserve">can assist in </w:t>
      </w:r>
      <w:r w:rsidR="00BA7700">
        <w:rPr>
          <w:rFonts w:asciiTheme="majorBidi" w:hAnsiTheme="majorBidi" w:cstheme="majorBidi"/>
          <w:sz w:val="20"/>
          <w:szCs w:val="20"/>
        </w:rPr>
        <w:t xml:space="preserve">the </w:t>
      </w:r>
      <w:r w:rsidR="00A42355">
        <w:rPr>
          <w:rFonts w:asciiTheme="majorBidi" w:hAnsiTheme="majorBidi" w:cstheme="majorBidi"/>
          <w:sz w:val="20"/>
          <w:szCs w:val="20"/>
        </w:rPr>
        <w:t>patient search, improve redundant entries in the user registry, and enhance</w:t>
      </w:r>
      <w:r w:rsidRPr="00F71EA8">
        <w:rPr>
          <w:rFonts w:asciiTheme="majorBidi" w:hAnsiTheme="majorBidi" w:cstheme="majorBidi"/>
          <w:sz w:val="20"/>
          <w:szCs w:val="20"/>
        </w:rPr>
        <w:t xml:space="preserve"> intervention efficiency, quality</w:t>
      </w:r>
      <w:r w:rsidR="003E3095">
        <w:rPr>
          <w:rFonts w:asciiTheme="majorBidi" w:hAnsiTheme="majorBidi" w:cstheme="majorBidi"/>
          <w:sz w:val="20"/>
          <w:szCs w:val="20"/>
        </w:rPr>
        <w:t xml:space="preserve"> of treatment</w:t>
      </w:r>
      <w:r w:rsidRPr="00F71EA8">
        <w:rPr>
          <w:rFonts w:asciiTheme="majorBidi" w:hAnsiTheme="majorBidi" w:cstheme="majorBidi"/>
          <w:sz w:val="20"/>
          <w:szCs w:val="20"/>
        </w:rPr>
        <w:t xml:space="preserve">, and care delivery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{"citationID":"7kwvJuPg","properties":{"formattedCitation":"({\\i{}WHO}, 2019)","plainCitation":"(WHO, 2019)","noteIndex":0},"citationItems":[{"id":1197,"uris":["http://zotero.org/users/5664472/items/XVMT74DN"],"itemData":{"id":1197,"type":"book","abstract":"The key aim of this guideline is to present recommendations based on a critical evaluation of the evidence on emerging digital health interventions that are contributing to health system improvements, based on an assessment of the benefits, harms, acceptability, feasibility, resource use and equity considerations. This guideline urges readers to recognize that digital health interventions are not a substitute for functioning health systems, and that there are significant limitations to what digital health is able to address.","collection-number":"CC BY-NC-SA 3.0 IGO","event-place":"Geneva","language":"en","note":"OCLC: 1126668274","publisher":"World Health Organization","publisher-place":"Geneva","source":"Open WorldCat","title":"WHO guideline: recommendations on digital interventions for health system strengthening","title-short":"WHO","URL":"http://www.ncbi.nlm.nih.gov/books/NBK541902/","accessed":{"date-parts":[["2020",6,3]]},"issued":{"date-parts":[["2019"]]}}}],"schema":"https://github.com/citation-style-language/schema/raw/master/csl-citation.json"}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t>
      </w:r>
      <w:r w:rsidR="003E3095">
        <w:rPr>
          <w:rFonts w:asciiTheme="majorBidi" w:hAnsiTheme="majorBidi" w:cstheme="majorBidi"/>
          <w:sz w:val="20"/>
          <w:szCs w:val="20"/>
        </w:rPr>
        <w:t>Moreover</w:t>
      </w:r>
      <w:r w:rsidRPr="00F71EA8">
        <w:rPr>
          <w:rFonts w:asciiTheme="majorBidi" w:hAnsiTheme="majorBidi" w:cstheme="majorBidi"/>
          <w:sz w:val="20"/>
          <w:szCs w:val="20"/>
        </w:rPr>
        <w:t xml:space="preserve">, it </w:t>
      </w:r>
      <w:r w:rsidR="003E3095">
        <w:rPr>
          <w:rFonts w:asciiTheme="majorBidi" w:hAnsiTheme="majorBidi" w:cstheme="majorBidi"/>
          <w:sz w:val="20"/>
          <w:szCs w:val="20"/>
        </w:rPr>
        <w:t>is competent</w:t>
      </w:r>
      <w:r w:rsidRPr="00F71EA8">
        <w:rPr>
          <w:rFonts w:asciiTheme="majorBidi" w:hAnsiTheme="majorBidi" w:cstheme="majorBidi"/>
          <w:sz w:val="20"/>
          <w:szCs w:val="20"/>
        </w:rPr>
        <w:t xml:space="preserve"> to </w:t>
      </w:r>
      <w:r w:rsidR="003E3095">
        <w:rPr>
          <w:rFonts w:asciiTheme="majorBidi" w:hAnsiTheme="majorBidi" w:cstheme="majorBidi"/>
          <w:sz w:val="20"/>
          <w:szCs w:val="20"/>
        </w:rPr>
        <w:t xml:space="preserve">support </w:t>
      </w:r>
      <w:r w:rsidRPr="00F71EA8">
        <w:rPr>
          <w:rFonts w:asciiTheme="majorBidi" w:hAnsiTheme="majorBidi" w:cstheme="majorBidi"/>
          <w:sz w:val="20"/>
          <w:szCs w:val="20"/>
        </w:rPr>
        <w:t xml:space="preserve">information exchange (Interoperability) </w:t>
      </w:r>
      <w:r w:rsidR="003E3095">
        <w:rPr>
          <w:rFonts w:asciiTheme="majorBidi" w:hAnsiTheme="majorBidi" w:cstheme="majorBidi"/>
          <w:sz w:val="20"/>
          <w:szCs w:val="20"/>
        </w:rPr>
        <w:t>among various</w:t>
      </w:r>
      <w:r w:rsidRPr="00F71EA8">
        <w:rPr>
          <w:rFonts w:asciiTheme="majorBidi" w:hAnsiTheme="majorBidi" w:cstheme="majorBidi"/>
          <w:sz w:val="20"/>
          <w:szCs w:val="20"/>
        </w:rPr>
        <w:t xml:space="preserve"> healthcare providers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{"citationID":"Wv2vSuGR","properties":{"formattedCitation":"({\\i{}WHO}, 2019)","plainCitation":"(WHO, 2019)","noteIndex":0},"citationItems":[{"id":1197,"uris":["http://zotero.org/users/5664472/items/XVMT74DN"],"itemData":{"id":1197,"type":"book","abstract":"The key aim of this guideline is to present recommendations based on a critical evaluation of the evidence on emerging digital health interventions that are contributing to health system improvements, based on an assessment of the benefits, harms, acceptability, feasibility, resource use and equity considerations. This guideline urges readers to recognize that digital health interventions are not a substitute for functioning health systems, and that there are significant limitations to what digital health is able to address.","collection-number":"CC BY-NC-SA 3.0 IGO","event-place":"Geneva","language":"en","note":"OCLC: 1126668274","publisher":"World Health Organization","publisher-place":"Geneva","source":"Open WorldCat","title":"WHO guideline: recommendations on digital interventions for health system strengthening","title-short":"WHO","URL":"http://www.ncbi.nlm.nih.gov/books/NBK541902/","accessed":{"date-parts":[["2020",6,3]]},"issued":{"date-parts":[["2019"]]}}}],"schema":"https://github.com/citation-style-language/schema/raw/master/csl-citation.json"}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WHO</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w:t>
      </w:r>
    </w:p>
    <w:p w14:paraId="69E364AB" w14:textId="77777777" w:rsidR="00F71EA8" w:rsidRPr="00F71EA8" w:rsidRDefault="00F71EA8" w:rsidP="00F71EA8">
      <w:pPr>
        <w:spacing w:after="0" w:line="240" w:lineRule="auto"/>
        <w:jc w:val="both"/>
        <w:rPr>
          <w:rFonts w:asciiTheme="majorBidi" w:hAnsiTheme="majorBidi" w:cstheme="majorBidi"/>
          <w:i/>
          <w:iCs/>
          <w:sz w:val="20"/>
          <w:szCs w:val="20"/>
        </w:rPr>
      </w:pPr>
      <w:r w:rsidRPr="00F71EA8">
        <w:rPr>
          <w:rFonts w:asciiTheme="majorBidi" w:hAnsiTheme="majorBidi" w:cstheme="majorBidi"/>
          <w:b/>
          <w:bCs/>
          <w:i/>
          <w:iCs/>
          <w:sz w:val="20"/>
          <w:szCs w:val="20"/>
        </w:rPr>
        <w:t>Transparency</w:t>
      </w:r>
    </w:p>
    <w:p w14:paraId="7B2AC9C1" w14:textId="51BD9D63" w:rsidR="00F71EA8" w:rsidRPr="00F71EA8" w:rsidRDefault="00142517" w:rsidP="00142517">
      <w:pPr>
        <w:spacing w:line="240" w:lineRule="auto"/>
        <w:jc w:val="both"/>
        <w:rPr>
          <w:rFonts w:asciiTheme="majorBidi" w:hAnsiTheme="majorBidi" w:cstheme="majorBidi"/>
          <w:sz w:val="20"/>
          <w:szCs w:val="20"/>
        </w:rPr>
      </w:pPr>
      <w:r>
        <w:rPr>
          <w:rFonts w:asciiTheme="majorBidi" w:hAnsiTheme="majorBidi" w:cstheme="majorBidi"/>
          <w:sz w:val="20"/>
          <w:szCs w:val="20"/>
        </w:rPr>
        <w:t>T</w:t>
      </w:r>
      <w:r w:rsidR="00F71EA8" w:rsidRPr="00F71EA8">
        <w:rPr>
          <w:rFonts w:asciiTheme="majorBidi" w:hAnsiTheme="majorBidi" w:cstheme="majorBidi"/>
          <w:sz w:val="20"/>
          <w:szCs w:val="20"/>
        </w:rPr>
        <w:t>ransparency means</w:t>
      </w:r>
      <w:r w:rsidR="00A42355">
        <w:rPr>
          <w:rFonts w:asciiTheme="majorBidi" w:hAnsiTheme="majorBidi" w:cstheme="majorBidi"/>
          <w:sz w:val="20"/>
          <w:szCs w:val="20"/>
        </w:rPr>
        <w:t xml:space="preserve"> the predicted</w:t>
      </w:r>
      <w:r w:rsidR="00F71EA8" w:rsidRPr="00F71EA8">
        <w:rPr>
          <w:rFonts w:asciiTheme="majorBidi" w:hAnsiTheme="majorBidi" w:cstheme="majorBidi"/>
          <w:sz w:val="20"/>
          <w:szCs w:val="20"/>
        </w:rPr>
        <w:t xml:space="preserve"> outcome from the input in a system cycle </w:t>
      </w:r>
      <w:r w:rsidR="00F71EA8" w:rsidRPr="00F71EA8">
        <w:rPr>
          <w:rFonts w:asciiTheme="majorBidi" w:hAnsiTheme="majorBidi" w:cstheme="majorBidi"/>
          <w:sz w:val="20"/>
          <w:szCs w:val="20"/>
        </w:rPr>
        <w:fldChar w:fldCharType="begin"/>
      </w:r>
      <w:r>
        <w:rPr>
          <w:rFonts w:asciiTheme="majorBidi" w:hAnsiTheme="majorBidi" w:cstheme="majorBidi"/>
          <w:sz w:val="20"/>
          <w:szCs w:val="20"/>
        </w:rPr>
        <w:instrText xml:space="preserve"> ADDIN ZOTERO_ITEM CSL_CITATION {"citationID":"gCrlvbm0","properties":{"formattedCitation":"(Rouse, 2014b)","plainCitation":"(Rouse, 2014b)","noteIndex":0},"citationItems":[{"id":1391,"uris":["http://zotero.org/users/5664472/items/KUBT84WG"],"itemData":{"id":1391,"type":"webpage","abstract":"What is transparency? This definition explains what transparency means in the context of governance and how it is differently understood in computing contexts.","container-title":"WhatIs.com","language":"en","title":"What is transparency?","title-short":"What is transparency?","URL":"https://whatis.techtarget.com/definition/transparency","author":[{"family":"Rouse","given":"Margaret"}],"accessed":{"date-parts":[["2020",8,27]]},"issued":{"date-parts":[["2014",11]]}}}],"schema":"https://github.com/citation-style-language/schema/raw/master/csl-citation.json"} </w:instrText>
      </w:r>
      <w:r w:rsidR="00F71EA8" w:rsidRPr="00F71EA8">
        <w:rPr>
          <w:rFonts w:asciiTheme="majorBidi" w:hAnsiTheme="majorBidi" w:cstheme="majorBidi"/>
          <w:sz w:val="20"/>
          <w:szCs w:val="20"/>
        </w:rPr>
        <w:fldChar w:fldCharType="separate"/>
      </w:r>
      <w:r w:rsidRPr="00142517">
        <w:rPr>
          <w:rFonts w:ascii="Times New Roman" w:hAnsi="Times New Roman" w:cs="Times New Roman"/>
          <w:sz w:val="20"/>
        </w:rPr>
        <w:t>(Rouse, 2014b)</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It is one of the key demands of users in digital health services </w:t>
      </w:r>
      <w:r w:rsidR="00F71EA8" w:rsidRPr="00F71EA8">
        <w:rPr>
          <w:rFonts w:asciiTheme="majorBidi" w:hAnsiTheme="majorBidi" w:cstheme="majorBidi"/>
          <w:sz w:val="20"/>
          <w:szCs w:val="20"/>
        </w:rPr>
        <w:fldChar w:fldCharType="begin"/>
      </w:r>
      <w:r>
        <w:rPr>
          <w:rFonts w:asciiTheme="majorBidi" w:hAnsiTheme="majorBidi" w:cstheme="majorBidi"/>
          <w:sz w:val="20"/>
          <w:szCs w:val="20"/>
        </w:rPr>
        <w:instrText xml:space="preserve"> ADDIN ZOTERO_ITEM CSL_CITATION {"citationID":"ANGtFLOq","properties":{"formattedCitation":"(Cordina &amp; Greenberg, 2019)","plainCitation":"(Cordina &amp; Greenberg, 2019)","noteIndex":0},"citationItems":[{"id":1267,"uris":["http://zotero.org/users/5664472/items/G3E4DSV2"],"itemData":{"id":1267,"type":"report","language":"en","page":"12","publisher":"Mckinsey &amp; Company","source":"Zotero","title":"Consumer Decision Making in Healthcare: The Role of Information Transparency","URL":"https://www.mckinsey.com/industries/healthcare-systems-and-services/our-insights/consumer-decision-making-in-healthcare-the-role-of-information-transparency","author":[{"family":"Cordina","given":"Jenny"},{"family":"Greenberg","given":"Sarah"}],"accessed":{"date-parts":[["2020",10,9]]},"issued":{"date-parts":[["2019",7]]}}}],"schema":"https://github.com/citation-style-language/schema/raw/master/csl-citation.json"} </w:instrText>
      </w:r>
      <w:r w:rsidR="00F71EA8" w:rsidRPr="00F71EA8">
        <w:rPr>
          <w:rFonts w:asciiTheme="majorBidi" w:hAnsiTheme="majorBidi" w:cstheme="majorBidi"/>
          <w:sz w:val="20"/>
          <w:szCs w:val="20"/>
        </w:rPr>
        <w:fldChar w:fldCharType="separate"/>
      </w:r>
      <w:r w:rsidRPr="00142517">
        <w:rPr>
          <w:rFonts w:ascii="Times New Roman" w:hAnsi="Times New Roman" w:cs="Times New Roman"/>
          <w:sz w:val="20"/>
        </w:rPr>
        <w:t>(Cordina &amp; Greenberg, 2019)</w:t>
      </w:r>
      <w:r w:rsidR="00F71EA8" w:rsidRPr="00F71EA8">
        <w:rPr>
          <w:rFonts w:asciiTheme="majorBidi" w:hAnsiTheme="majorBidi" w:cstheme="majorBidi"/>
          <w:sz w:val="20"/>
          <w:szCs w:val="20"/>
        </w:rPr>
        <w:fldChar w:fldCharType="end"/>
      </w:r>
      <w:r w:rsidR="00A42355">
        <w:rPr>
          <w:rFonts w:asciiTheme="majorBidi" w:hAnsiTheme="majorBidi" w:cstheme="majorBidi"/>
          <w:sz w:val="20"/>
          <w:szCs w:val="20"/>
        </w:rPr>
        <w:t>, such as PHC</w:t>
      </w:r>
      <w:r w:rsidR="00F71EA8" w:rsidRPr="00F71EA8">
        <w:rPr>
          <w:rFonts w:asciiTheme="majorBidi" w:hAnsiTheme="majorBidi" w:cstheme="majorBidi"/>
          <w:sz w:val="20"/>
          <w:szCs w:val="20"/>
        </w:rPr>
        <w:t xml:space="preserve">. Transparency in </w:t>
      </w:r>
      <w:r w:rsidR="00A42355">
        <w:rPr>
          <w:rFonts w:asciiTheme="majorBidi" w:hAnsiTheme="majorBidi" w:cstheme="majorBidi"/>
          <w:sz w:val="20"/>
          <w:szCs w:val="20"/>
        </w:rPr>
        <w:t xml:space="preserve">PHC </w:t>
      </w:r>
      <w:r w:rsidR="00F71EA8" w:rsidRPr="00F71EA8">
        <w:rPr>
          <w:rFonts w:asciiTheme="majorBidi" w:hAnsiTheme="majorBidi" w:cstheme="majorBidi"/>
          <w:sz w:val="20"/>
          <w:szCs w:val="20"/>
        </w:rPr>
        <w:t xml:space="preserve">service can be </w:t>
      </w:r>
      <w:r w:rsidR="00A42355">
        <w:rPr>
          <w:rFonts w:asciiTheme="majorBidi" w:hAnsiTheme="majorBidi" w:cstheme="majorBidi"/>
          <w:sz w:val="20"/>
          <w:szCs w:val="20"/>
        </w:rPr>
        <w:t>designed</w:t>
      </w:r>
      <w:r w:rsidR="00F71EA8" w:rsidRPr="00F71EA8">
        <w:rPr>
          <w:rFonts w:asciiTheme="majorBidi" w:hAnsiTheme="majorBidi" w:cstheme="majorBidi"/>
          <w:sz w:val="20"/>
          <w:szCs w:val="20"/>
        </w:rPr>
        <w:t xml:space="preserve"> by</w:t>
      </w:r>
      <w:r w:rsidR="00A42355">
        <w:rPr>
          <w:rFonts w:asciiTheme="majorBidi" w:hAnsiTheme="majorBidi" w:cstheme="majorBidi"/>
          <w:sz w:val="20"/>
          <w:szCs w:val="20"/>
        </w:rPr>
        <w:t xml:space="preserve"> founding</w:t>
      </w:r>
      <w:r w:rsidR="00F71EA8" w:rsidRPr="00F71EA8">
        <w:rPr>
          <w:rFonts w:asciiTheme="majorBidi" w:hAnsiTheme="majorBidi" w:cstheme="majorBidi"/>
          <w:sz w:val="20"/>
          <w:szCs w:val="20"/>
        </w:rPr>
        <w:t xml:space="preserve"> a data flow map. </w:t>
      </w:r>
      <w:r w:rsidR="00A42355">
        <w:rPr>
          <w:rFonts w:asciiTheme="majorBidi" w:hAnsiTheme="majorBidi" w:cstheme="majorBidi"/>
          <w:sz w:val="20"/>
          <w:szCs w:val="20"/>
        </w:rPr>
        <w:t>A data flow map</w:t>
      </w:r>
      <w:r w:rsidR="00F71EA8" w:rsidRPr="00F71EA8">
        <w:rPr>
          <w:rFonts w:asciiTheme="majorBidi" w:hAnsiTheme="majorBidi" w:cstheme="majorBidi"/>
          <w:sz w:val="20"/>
          <w:szCs w:val="20"/>
        </w:rPr>
        <w:t xml:space="preserve"> can </w:t>
      </w:r>
      <w:r w:rsidR="00A42355">
        <w:rPr>
          <w:rFonts w:asciiTheme="majorBidi" w:hAnsiTheme="majorBidi" w:cstheme="majorBidi"/>
          <w:sz w:val="20"/>
          <w:szCs w:val="20"/>
        </w:rPr>
        <w:t>help</w:t>
      </w:r>
      <w:r w:rsidR="00F71EA8" w:rsidRPr="00F71EA8">
        <w:rPr>
          <w:rFonts w:asciiTheme="majorBidi" w:hAnsiTheme="majorBidi" w:cstheme="majorBidi"/>
          <w:sz w:val="20"/>
          <w:szCs w:val="20"/>
        </w:rPr>
        <w:t xml:space="preserve"> </w:t>
      </w:r>
      <w:r w:rsidR="00A42355">
        <w:rPr>
          <w:rFonts w:asciiTheme="majorBidi" w:hAnsiTheme="majorBidi" w:cstheme="majorBidi"/>
          <w:sz w:val="20"/>
          <w:szCs w:val="20"/>
        </w:rPr>
        <w:t>categorise</w:t>
      </w:r>
      <w:r w:rsidR="00F71EA8" w:rsidRPr="00F71EA8">
        <w:rPr>
          <w:rFonts w:asciiTheme="majorBidi" w:hAnsiTheme="majorBidi" w:cstheme="majorBidi"/>
          <w:sz w:val="20"/>
          <w:szCs w:val="20"/>
        </w:rPr>
        <w:t xml:space="preserve"> instances </w:t>
      </w:r>
      <w:r w:rsidR="00A42355">
        <w:rPr>
          <w:rFonts w:asciiTheme="majorBidi" w:hAnsiTheme="majorBidi" w:cstheme="majorBidi"/>
          <w:sz w:val="20"/>
          <w:szCs w:val="20"/>
        </w:rPr>
        <w:t>like</w:t>
      </w:r>
      <w:r w:rsidR="00F71EA8" w:rsidRPr="00F71EA8">
        <w:rPr>
          <w:rFonts w:asciiTheme="majorBidi" w:hAnsiTheme="majorBidi" w:cstheme="majorBidi"/>
          <w:sz w:val="20"/>
          <w:szCs w:val="20"/>
        </w:rPr>
        <w:t xml:space="preserve"> data processing information (including trace and track </w:t>
      </w:r>
      <w:r w:rsidR="00A42355">
        <w:rPr>
          <w:rFonts w:asciiTheme="majorBidi" w:hAnsiTheme="majorBidi" w:cstheme="majorBidi"/>
          <w:sz w:val="20"/>
          <w:szCs w:val="20"/>
        </w:rPr>
        <w:t xml:space="preserve">of </w:t>
      </w:r>
      <w:r w:rsidR="00F71EA8" w:rsidRPr="00F71EA8">
        <w:rPr>
          <w:rFonts w:asciiTheme="majorBidi" w:hAnsiTheme="majorBidi" w:cstheme="majorBidi"/>
          <w:sz w:val="20"/>
          <w:szCs w:val="20"/>
        </w:rPr>
        <w:t>record</w:t>
      </w:r>
      <w:r w:rsidR="00A42355">
        <w:rPr>
          <w:rFonts w:asciiTheme="majorBidi" w:hAnsiTheme="majorBidi" w:cstheme="majorBidi"/>
          <w:sz w:val="20"/>
          <w:szCs w:val="20"/>
        </w:rPr>
        <w:t>s</w:t>
      </w:r>
      <w:r w:rsidR="00F71EA8" w:rsidRPr="00F71EA8">
        <w:rPr>
          <w:rFonts w:asciiTheme="majorBidi" w:hAnsiTheme="majorBidi" w:cstheme="majorBidi"/>
          <w:sz w:val="20"/>
          <w:szCs w:val="20"/>
        </w:rPr>
        <w:t xml:space="preserve">) </w:t>
      </w:r>
      <w:r w:rsidR="00A42355">
        <w:rPr>
          <w:rFonts w:asciiTheme="majorBidi" w:hAnsiTheme="majorBidi" w:cstheme="majorBidi"/>
          <w:sz w:val="20"/>
          <w:szCs w:val="20"/>
        </w:rPr>
        <w:t>and exchanged</w:t>
      </w:r>
      <w:r w:rsidR="00F71EA8" w:rsidRPr="00F71EA8">
        <w:rPr>
          <w:rFonts w:asciiTheme="majorBidi" w:hAnsiTheme="majorBidi" w:cstheme="majorBidi"/>
          <w:sz w:val="20"/>
          <w:szCs w:val="20"/>
        </w:rPr>
        <w:t xml:space="preserve"> data types </w:t>
      </w:r>
      <w:r w:rsidR="00F71EA8" w:rsidRPr="00F71EA8">
        <w:rPr>
          <w:rFonts w:asciiTheme="majorBidi" w:hAnsiTheme="majorBidi" w:cstheme="majorBidi"/>
          <w:sz w:val="20"/>
          <w:szCs w:val="20"/>
        </w:rPr>
        <w:fldChar w:fldCharType="begin"/>
      </w:r>
      <w:r>
        <w:rPr>
          <w:rFonts w:asciiTheme="majorBidi" w:hAnsiTheme="majorBidi" w:cstheme="majorBidi"/>
          <w:sz w:val="20"/>
          <w:szCs w:val="20"/>
        </w:rPr>
        <w:instrText xml:space="preserve"> ADDIN ZOTERO_ITEM CSL_CITATION {"citationID":"vaFw3Z7h","properties":{"formattedCitation":"({\\i{}UK Department of Health &amp; Social Care}, 2019)","plainCitation":"(UK Department of Health &amp; Social Care, 2019)","noteIndex":0},"citationItems":[{"id":1387,"uris":["http://zotero.org/users/5664472/items/5A4QZDLX"],"itemData":{"id":1387,"type":"document","language":"English","publisher":"UK Department of Health &amp; Social Care","title":"Code of Conduct for Data-Driven Health and Care Technology","title-short":"UK Department of Health &amp; Social Care","URL":"https://www.gov.uk/government/publications/code-of-conduct-for-data-driven-health-and-care-technology/initial-code-of-conduct-for-data-driven-health-and-care-technology#principle-6-be-transparent-about-the-limitations-of-the-data-used","accessed":{"date-parts":[["2020",8,11]]},"issued":{"date-parts":[["2019",7,18]]}}}],"schema":"https://github.com/citation-style-language/schema/raw/master/csl-citation.json"} </w:instrText>
      </w:r>
      <w:r w:rsidR="00F71EA8" w:rsidRPr="00F71EA8">
        <w:rPr>
          <w:rFonts w:asciiTheme="majorBidi" w:hAnsiTheme="majorBidi" w:cstheme="majorBidi"/>
          <w:sz w:val="20"/>
          <w:szCs w:val="20"/>
        </w:rPr>
        <w:fldChar w:fldCharType="separate"/>
      </w:r>
      <w:r w:rsidRPr="00142517">
        <w:rPr>
          <w:rFonts w:ascii="Times New Roman" w:hAnsi="Times New Roman" w:cs="Times New Roman"/>
          <w:sz w:val="20"/>
          <w:szCs w:val="24"/>
        </w:rPr>
        <w:t>(</w:t>
      </w:r>
      <w:r w:rsidRPr="00142517">
        <w:rPr>
          <w:rFonts w:ascii="Times New Roman" w:hAnsi="Times New Roman" w:cs="Times New Roman"/>
          <w:i/>
          <w:iCs/>
          <w:sz w:val="20"/>
          <w:szCs w:val="24"/>
        </w:rPr>
        <w:t>UK Department of Health &amp; Social Care</w:t>
      </w:r>
      <w:r w:rsidRPr="00142517">
        <w:rPr>
          <w:rFonts w:ascii="Times New Roman" w:hAnsi="Times New Roman" w:cs="Times New Roman"/>
          <w:sz w:val="20"/>
          <w:szCs w:val="24"/>
        </w:rPr>
        <w:t>, 2019)</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w:t>
      </w:r>
      <w:r w:rsidR="00A42355">
        <w:rPr>
          <w:rFonts w:asciiTheme="majorBidi" w:hAnsiTheme="majorBidi" w:cstheme="majorBidi"/>
          <w:sz w:val="20"/>
          <w:szCs w:val="20"/>
        </w:rPr>
        <w:t xml:space="preserve"> </w:t>
      </w:r>
      <w:r w:rsidR="00F71EA8" w:rsidRPr="00F71EA8">
        <w:rPr>
          <w:rFonts w:asciiTheme="majorBidi" w:hAnsiTheme="majorBidi" w:cstheme="majorBidi"/>
          <w:sz w:val="20"/>
          <w:szCs w:val="20"/>
        </w:rPr>
        <w:t>However, a data flow map may cause data misuse</w:t>
      </w:r>
      <w:r w:rsidR="00A42355">
        <w:rPr>
          <w:rFonts w:asciiTheme="majorBidi" w:hAnsiTheme="majorBidi" w:cstheme="majorBidi"/>
          <w:sz w:val="20"/>
          <w:szCs w:val="20"/>
        </w:rPr>
        <w:t xml:space="preserve"> (e.g. </w:t>
      </w:r>
      <w:r w:rsidR="00F71EA8" w:rsidRPr="00F71EA8">
        <w:rPr>
          <w:rFonts w:asciiTheme="majorBidi" w:hAnsiTheme="majorBidi" w:cstheme="majorBidi"/>
          <w:sz w:val="20"/>
          <w:szCs w:val="20"/>
        </w:rPr>
        <w:t>niche advertising</w:t>
      </w:r>
      <w:r w:rsidR="00A42355">
        <w:rPr>
          <w:rFonts w:asciiTheme="majorBidi" w:hAnsiTheme="majorBidi" w:cstheme="majorBidi"/>
          <w:sz w:val="20"/>
          <w:szCs w:val="20"/>
        </w:rPr>
        <w:t>)</w:t>
      </w:r>
      <w:r w:rsidR="00F71EA8" w:rsidRPr="00F71EA8">
        <w:rPr>
          <w:rFonts w:asciiTheme="majorBidi" w:hAnsiTheme="majorBidi" w:cstheme="majorBidi"/>
          <w:sz w:val="20"/>
          <w:szCs w:val="20"/>
        </w:rPr>
        <w:t xml:space="preserve"> </w:t>
      </w:r>
      <w:r w:rsidR="00F71EA8" w:rsidRPr="00F71EA8">
        <w:rPr>
          <w:rFonts w:asciiTheme="majorBidi" w:hAnsiTheme="majorBidi" w:cstheme="majorBidi"/>
          <w:sz w:val="20"/>
          <w:szCs w:val="20"/>
        </w:rPr>
        <w:fldChar w:fldCharType="begin"/>
      </w:r>
      <w:r>
        <w:rPr>
          <w:rFonts w:asciiTheme="majorBidi" w:hAnsiTheme="majorBidi" w:cstheme="majorBidi"/>
          <w:sz w:val="20"/>
          <w:szCs w:val="20"/>
        </w:rPr>
        <w:instrText xml:space="preserve"> ADDIN ZOTERO_ITEM CSL_CITATION {"citationID":"VLV8b6CV","properties":{"formattedCitation":"(Bigelow, 2018; Crawford et al., 2015)","plainCitation":"(Bigelow, 2018; Crawford et al., 2015)","noteIndex":0},"citationItems":[{"id":1117,"uris":["http://zotero.org/users/5664472/items/3ZKTVD72"],"itemData":{"id":1117,"type":"webpage","language":"English","title":"Ethics in Healthcare aren’t New, but Their Application has Never been More Important","URL":"http://newsroom.gehealthcare.com/ethics-healthcare-arent-new-application-important/","author":[{"family":"Bigelow","given":"Keith"}],"accessed":{"date-parts":[["2019",6,28]]},"issued":{"date-parts":[["2018",10,2]]}}},{"id":1116,"uris":["http://zotero.org/users/5664472/items/FZBHZ65P"],"itemData":{"id":1116,"type":"article-journal","abstract":"The recent proliferation of wearable self-tracking devices intended to regulate and measure the body has brought contingent questions of controlling, accessing and interpreting personal data. Given a socio-technical context in which individuals are no longer the most authoritative source on data about themselves, wearable selftracking technologies reflect the simultaneous commodification and knowledgemaking that occurs between data and bodies. In this article, we look specifically at wearable, self-tracking devices in order to set up an analytical comparison with a key historical predecessor, the weight scale. By taking two distinct cases of self-tracking – wearables and the weight scale – we can situate current discourses of big data within a historical framing of self-measurement and human subjectivity. While the advertising promises of both the weight scale and the wearable device emphasize self-knowledge and control through external measurement, the use of wearable data by multiple agents and institutions results in a lack of control over data by the user. In the production of self-knowledge, the wearable device is also making the user known to others, in a range of ways that can be both skewed and inaccurate.","container-title":"European Journal of Cultural Studies","DOI":"10.1177/1367549415584857","ISSN":"1367-5494, 1460-3551","issue":"4-5","journalAbbreviation":"European Journal of Cultural Studies","language":"en","page":"479-496","source":"DOI.org (Crossref)","title":"Our metrics, ourselves: A hundred years of self-tracking from the weight scale to the wrist wearable device","title-short":"Our metrics, ourselves","volume":"18","author":[{"family":"Crawford","given":"Kate"},{"family":"Lingel","given":"Jessa"},{"family":"Karppi","given":"Tero"}],"issued":{"date-parts":[["2015",8]]}}}],"schema":"https://github.com/citation-style-language/schema/raw/master/csl-citation.json"} </w:instrText>
      </w:r>
      <w:r w:rsidR="00F71EA8" w:rsidRPr="00F71EA8">
        <w:rPr>
          <w:rFonts w:asciiTheme="majorBidi" w:hAnsiTheme="majorBidi" w:cstheme="majorBidi"/>
          <w:sz w:val="20"/>
          <w:szCs w:val="20"/>
        </w:rPr>
        <w:fldChar w:fldCharType="separate"/>
      </w:r>
      <w:r w:rsidRPr="00142517">
        <w:rPr>
          <w:rFonts w:ascii="Times New Roman" w:hAnsi="Times New Roman" w:cs="Times New Roman"/>
          <w:sz w:val="20"/>
        </w:rPr>
        <w:t>(Bigelow, 2018; Crawford et al., 2015)</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w:t>
      </w:r>
      <w:r w:rsidR="00A42355">
        <w:rPr>
          <w:rFonts w:asciiTheme="majorBidi" w:hAnsiTheme="majorBidi" w:cstheme="majorBidi"/>
          <w:sz w:val="20"/>
          <w:szCs w:val="20"/>
        </w:rPr>
        <w:t>PHC</w:t>
      </w:r>
      <w:r>
        <w:rPr>
          <w:rFonts w:asciiTheme="majorBidi" w:hAnsiTheme="majorBidi" w:cstheme="majorBidi"/>
          <w:sz w:val="20"/>
          <w:szCs w:val="20"/>
        </w:rPr>
        <w:t xml:space="preserve"> </w:t>
      </w:r>
      <w:r w:rsidR="00F71EA8" w:rsidRPr="00F71EA8">
        <w:rPr>
          <w:rFonts w:asciiTheme="majorBidi" w:hAnsiTheme="majorBidi" w:cstheme="majorBidi"/>
          <w:sz w:val="20"/>
          <w:szCs w:val="20"/>
        </w:rPr>
        <w:t xml:space="preserve">service may </w:t>
      </w:r>
      <w:r w:rsidR="00A42355">
        <w:rPr>
          <w:rFonts w:asciiTheme="majorBidi" w:hAnsiTheme="majorBidi" w:cstheme="majorBidi"/>
          <w:sz w:val="20"/>
          <w:szCs w:val="20"/>
        </w:rPr>
        <w:t>include</w:t>
      </w:r>
      <w:r w:rsidR="00F71EA8" w:rsidRPr="00F71EA8">
        <w:rPr>
          <w:rFonts w:asciiTheme="majorBidi" w:hAnsiTheme="majorBidi" w:cstheme="majorBidi"/>
          <w:sz w:val="20"/>
          <w:szCs w:val="20"/>
        </w:rPr>
        <w:t xml:space="preserve"> appropriate technology (</w:t>
      </w:r>
      <w:r w:rsidR="00A42355">
        <w:rPr>
          <w:rFonts w:asciiTheme="majorBidi" w:hAnsiTheme="majorBidi" w:cstheme="majorBidi"/>
          <w:sz w:val="20"/>
          <w:szCs w:val="20"/>
        </w:rPr>
        <w:t xml:space="preserve">e.g. </w:t>
      </w:r>
      <w:r w:rsidR="00F71EA8" w:rsidRPr="00F71EA8">
        <w:rPr>
          <w:rFonts w:asciiTheme="majorBidi" w:hAnsiTheme="majorBidi" w:cstheme="majorBidi"/>
          <w:sz w:val="20"/>
          <w:szCs w:val="20"/>
        </w:rPr>
        <w:t xml:space="preserve">Artificial Intelligence, Machine Learning, Deep Learning) to </w:t>
      </w:r>
      <w:r w:rsidR="00A42355" w:rsidRPr="00F71EA8">
        <w:rPr>
          <w:rFonts w:asciiTheme="majorBidi" w:hAnsiTheme="majorBidi" w:cstheme="majorBidi"/>
          <w:sz w:val="20"/>
          <w:szCs w:val="20"/>
        </w:rPr>
        <w:t>set up</w:t>
      </w:r>
      <w:r w:rsidR="00F71EA8" w:rsidRPr="00F71EA8">
        <w:rPr>
          <w:rFonts w:asciiTheme="majorBidi" w:hAnsiTheme="majorBidi" w:cstheme="majorBidi"/>
          <w:sz w:val="20"/>
          <w:szCs w:val="20"/>
        </w:rPr>
        <w:t xml:space="preserve"> an informed consent management </w:t>
      </w:r>
      <w:r w:rsidR="00A42355">
        <w:rPr>
          <w:rFonts w:asciiTheme="majorBidi" w:hAnsiTheme="majorBidi" w:cstheme="majorBidi"/>
          <w:sz w:val="20"/>
          <w:szCs w:val="20"/>
        </w:rPr>
        <w:t>strategy</w:t>
      </w:r>
      <w:r w:rsidR="00F71EA8" w:rsidRPr="00F71EA8">
        <w:rPr>
          <w:rFonts w:asciiTheme="majorBidi" w:hAnsiTheme="majorBidi" w:cstheme="majorBidi"/>
          <w:sz w:val="20"/>
          <w:szCs w:val="20"/>
        </w:rPr>
        <w:t xml:space="preserve"> within their system</w:t>
      </w:r>
      <w:r w:rsidR="00A42355">
        <w:rPr>
          <w:rFonts w:asciiTheme="majorBidi" w:hAnsiTheme="majorBidi" w:cstheme="majorBidi"/>
          <w:sz w:val="20"/>
          <w:szCs w:val="20"/>
        </w:rPr>
        <w:t xml:space="preserve"> and service</w:t>
      </w:r>
      <w:r w:rsidR="00F71EA8" w:rsidRPr="00F71EA8">
        <w:rPr>
          <w:rFonts w:asciiTheme="majorBidi" w:hAnsiTheme="majorBidi" w:cstheme="majorBidi"/>
          <w:sz w:val="20"/>
          <w:szCs w:val="20"/>
        </w:rPr>
        <w:t xml:space="preserve"> </w:t>
      </w:r>
      <w:r w:rsidR="00A42355">
        <w:rPr>
          <w:rFonts w:asciiTheme="majorBidi" w:hAnsiTheme="majorBidi" w:cstheme="majorBidi"/>
          <w:sz w:val="20"/>
          <w:szCs w:val="20"/>
        </w:rPr>
        <w:t>for</w:t>
      </w:r>
      <w:r w:rsidR="00F71EA8" w:rsidRPr="00F71EA8">
        <w:rPr>
          <w:rFonts w:asciiTheme="majorBidi" w:hAnsiTheme="majorBidi" w:cstheme="majorBidi"/>
          <w:sz w:val="20"/>
          <w:szCs w:val="20"/>
        </w:rPr>
        <w:t xml:space="preserve"> </w:t>
      </w:r>
      <w:r w:rsidR="00A42355" w:rsidRPr="00F71EA8">
        <w:rPr>
          <w:rFonts w:asciiTheme="majorBidi" w:hAnsiTheme="majorBidi" w:cstheme="majorBidi"/>
          <w:sz w:val="20"/>
          <w:szCs w:val="20"/>
        </w:rPr>
        <w:t>creat</w:t>
      </w:r>
      <w:r w:rsidR="00A42355">
        <w:rPr>
          <w:rFonts w:asciiTheme="majorBidi" w:hAnsiTheme="majorBidi" w:cstheme="majorBidi"/>
          <w:sz w:val="20"/>
          <w:szCs w:val="20"/>
        </w:rPr>
        <w:t>ing</w:t>
      </w:r>
      <w:r w:rsidR="00F71EA8" w:rsidRPr="00F71EA8">
        <w:rPr>
          <w:rFonts w:asciiTheme="majorBidi" w:hAnsiTheme="majorBidi" w:cstheme="majorBidi"/>
          <w:sz w:val="20"/>
          <w:szCs w:val="20"/>
        </w:rPr>
        <w:t xml:space="preserve"> and </w:t>
      </w:r>
      <w:r w:rsidR="00A42355">
        <w:rPr>
          <w:rFonts w:asciiTheme="majorBidi" w:hAnsiTheme="majorBidi" w:cstheme="majorBidi"/>
          <w:sz w:val="20"/>
          <w:szCs w:val="20"/>
        </w:rPr>
        <w:t>assuring</w:t>
      </w:r>
      <w:r w:rsidR="00F71EA8" w:rsidRPr="00F71EA8">
        <w:rPr>
          <w:rFonts w:asciiTheme="majorBidi" w:hAnsiTheme="majorBidi" w:cstheme="majorBidi"/>
          <w:sz w:val="20"/>
          <w:szCs w:val="20"/>
        </w:rPr>
        <w:t xml:space="preserve"> the best transparency practice </w:t>
      </w:r>
      <w:r>
        <w:rPr>
          <w:rFonts w:asciiTheme="majorBidi" w:hAnsiTheme="majorBidi" w:cstheme="majorBidi"/>
          <w:sz w:val="20"/>
          <w:szCs w:val="20"/>
        </w:rPr>
        <w:t>for</w:t>
      </w:r>
      <w:r w:rsidR="00F71EA8" w:rsidRPr="00F71EA8">
        <w:rPr>
          <w:rFonts w:asciiTheme="majorBidi" w:hAnsiTheme="majorBidi" w:cstheme="majorBidi"/>
          <w:sz w:val="20"/>
          <w:szCs w:val="20"/>
        </w:rPr>
        <w:t xml:space="preserve"> </w:t>
      </w:r>
      <w:r w:rsidR="00A42355">
        <w:rPr>
          <w:rFonts w:asciiTheme="majorBidi" w:hAnsiTheme="majorBidi" w:cstheme="majorBidi"/>
          <w:sz w:val="20"/>
          <w:szCs w:val="20"/>
        </w:rPr>
        <w:t xml:space="preserve">all </w:t>
      </w:r>
      <w:r w:rsidR="00F71EA8" w:rsidRPr="00F71EA8">
        <w:rPr>
          <w:rFonts w:asciiTheme="majorBidi" w:hAnsiTheme="majorBidi" w:cstheme="majorBidi"/>
          <w:sz w:val="20"/>
          <w:szCs w:val="20"/>
        </w:rPr>
        <w:t>its users.</w:t>
      </w:r>
    </w:p>
    <w:p w14:paraId="338AD8F7" w14:textId="77777777" w:rsidR="00F71EA8" w:rsidRPr="00F71EA8" w:rsidRDefault="00F71EA8" w:rsidP="00F71EA8">
      <w:pPr>
        <w:spacing w:after="0" w:line="240" w:lineRule="auto"/>
        <w:jc w:val="both"/>
        <w:rPr>
          <w:rFonts w:asciiTheme="majorBidi" w:hAnsiTheme="majorBidi" w:cstheme="majorBidi"/>
          <w:b/>
          <w:bCs/>
          <w:i/>
          <w:iCs/>
          <w:sz w:val="20"/>
          <w:szCs w:val="20"/>
        </w:rPr>
      </w:pPr>
      <w:r w:rsidRPr="00F71EA8">
        <w:rPr>
          <w:rFonts w:asciiTheme="majorBidi" w:hAnsiTheme="majorBidi" w:cstheme="majorBidi"/>
          <w:b/>
          <w:bCs/>
          <w:i/>
          <w:iCs/>
          <w:sz w:val="20"/>
          <w:szCs w:val="20"/>
        </w:rPr>
        <w:t>Accountability and Auditability</w:t>
      </w:r>
    </w:p>
    <w:p w14:paraId="70B24C47" w14:textId="6FC768F6" w:rsidR="00F71EA8" w:rsidRPr="00F71EA8" w:rsidRDefault="00A42355" w:rsidP="00142517">
      <w:pPr>
        <w:spacing w:line="240" w:lineRule="auto"/>
        <w:jc w:val="both"/>
        <w:rPr>
          <w:rFonts w:asciiTheme="majorBidi" w:hAnsiTheme="majorBidi" w:cstheme="majorBidi"/>
          <w:sz w:val="20"/>
          <w:szCs w:val="20"/>
        </w:rPr>
      </w:pPr>
      <w:r>
        <w:rPr>
          <w:rFonts w:asciiTheme="majorBidi" w:hAnsiTheme="majorBidi" w:cstheme="majorBidi"/>
          <w:sz w:val="20"/>
          <w:szCs w:val="20"/>
        </w:rPr>
        <w:t>G</w:t>
      </w:r>
      <w:r w:rsidR="00F71EA8" w:rsidRPr="00F71EA8">
        <w:rPr>
          <w:rFonts w:asciiTheme="majorBidi" w:hAnsiTheme="majorBidi" w:cstheme="majorBidi"/>
          <w:sz w:val="20"/>
          <w:szCs w:val="20"/>
        </w:rPr>
        <w:t xml:space="preserve">radual demand for transparency in digital health services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{"citationID":"wAcalH7L","properties":{"formattedCitation":"(Cordina &amp; Greenberg, 2019)","plainCitation":"(Cordina &amp; Greenberg, 2019)","noteIndex":0},"citationItems":[{"id":1267,"uris":["http://zotero.org/users/5664472/items/G3E4DSV2"],"itemData":{"id":1267,"type":"report","language":"en","page":"12","publisher":"Mckinsey &amp; Company","source":"Zotero","title":"Consumer Decision Making in Healthcare: The Role of Information Transparency","URL":"https://www.mckinsey.com/industries/healthcare-systems-and-services/our-insights/consumer-decision-making-in-healthcare-the-role-of-information-transparency","author":[{"family":"Cordina","given":"Jenny"},{"family":"Greenberg","given":"Sarah"}],"accessed":{"date-parts":[["2020",10,9]]},"issued":{"date-parts":[["2019",7]]}}}],"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(Cordina &amp; Greenberg, 2019)</w:t>
      </w:r>
      <w:r w:rsidR="00F71EA8" w:rsidRPr="00F71EA8">
        <w:rPr>
          <w:rFonts w:asciiTheme="majorBidi" w:hAnsiTheme="majorBidi" w:cstheme="majorBidi"/>
          <w:sz w:val="20"/>
          <w:szCs w:val="20"/>
        </w:rPr>
        <w:fldChar w:fldCharType="end"/>
      </w:r>
      <w:r>
        <w:rPr>
          <w:rFonts w:asciiTheme="majorBidi" w:hAnsiTheme="majorBidi" w:cstheme="majorBidi"/>
          <w:sz w:val="20"/>
          <w:szCs w:val="20"/>
        </w:rPr>
        <w:t xml:space="preserve"> has made</w:t>
      </w:r>
      <w:r w:rsidR="00F71EA8" w:rsidRPr="00F71EA8">
        <w:rPr>
          <w:rFonts w:asciiTheme="majorBidi" w:hAnsiTheme="majorBidi" w:cstheme="majorBidi"/>
          <w:sz w:val="20"/>
          <w:szCs w:val="20"/>
        </w:rPr>
        <w:t xml:space="preserve"> accountability a significant issue in </w:t>
      </w:r>
      <w:r>
        <w:rPr>
          <w:rFonts w:asciiTheme="majorBidi" w:hAnsiTheme="majorBidi" w:cstheme="majorBidi"/>
          <w:sz w:val="20"/>
          <w:szCs w:val="20"/>
        </w:rPr>
        <w:t>healthcare</w:t>
      </w:r>
      <w:r w:rsidR="00F71EA8" w:rsidRPr="00F71EA8">
        <w:rPr>
          <w:rFonts w:asciiTheme="majorBidi" w:hAnsiTheme="majorBidi" w:cstheme="majorBidi"/>
          <w:sz w:val="20"/>
          <w:szCs w:val="20"/>
        </w:rPr>
        <w:t xml:space="preserve">. Accountability </w:t>
      </w:r>
      <w:r>
        <w:rPr>
          <w:rFonts w:asciiTheme="majorBidi" w:hAnsiTheme="majorBidi" w:cstheme="majorBidi"/>
          <w:sz w:val="20"/>
          <w:szCs w:val="20"/>
        </w:rPr>
        <w:t>helps to improve</w:t>
      </w:r>
      <w:r w:rsidR="00F71EA8" w:rsidRPr="00F71EA8">
        <w:rPr>
          <w:rFonts w:asciiTheme="majorBidi" w:hAnsiTheme="majorBidi" w:cstheme="majorBidi"/>
          <w:sz w:val="20"/>
          <w:szCs w:val="20"/>
        </w:rPr>
        <w:t xml:space="preserve"> a system's auditability. Auditability </w:t>
      </w:r>
      <w:r>
        <w:rPr>
          <w:rFonts w:asciiTheme="majorBidi" w:hAnsiTheme="majorBidi" w:cstheme="majorBidi"/>
          <w:sz w:val="20"/>
          <w:szCs w:val="20"/>
        </w:rPr>
        <w:t>denotes</w:t>
      </w:r>
      <w:r w:rsidR="00F71EA8" w:rsidRPr="00F71EA8">
        <w:rPr>
          <w:rFonts w:asciiTheme="majorBidi" w:hAnsiTheme="majorBidi" w:cstheme="majorBidi"/>
          <w:sz w:val="20"/>
          <w:szCs w:val="20"/>
        </w:rPr>
        <w:t xml:space="preserve"> the ability to </w:t>
      </w:r>
      <w:r>
        <w:rPr>
          <w:rFonts w:asciiTheme="majorBidi" w:hAnsiTheme="majorBidi" w:cstheme="majorBidi"/>
          <w:sz w:val="20"/>
          <w:szCs w:val="20"/>
        </w:rPr>
        <w:t>evaluate</w:t>
      </w:r>
      <w:r w:rsidR="00F71EA8" w:rsidRPr="00F71EA8">
        <w:rPr>
          <w:rFonts w:asciiTheme="majorBidi" w:hAnsiTheme="majorBidi" w:cstheme="majorBidi"/>
          <w:sz w:val="20"/>
          <w:szCs w:val="20"/>
        </w:rPr>
        <w:t xml:space="preserve"> the existing system infrastructure, </w:t>
      </w:r>
      <w:r>
        <w:rPr>
          <w:rFonts w:asciiTheme="majorBidi" w:hAnsiTheme="majorBidi" w:cstheme="majorBidi"/>
          <w:sz w:val="20"/>
          <w:szCs w:val="20"/>
        </w:rPr>
        <w:t>operations</w:t>
      </w:r>
      <w:r w:rsidR="00F71EA8" w:rsidRPr="00F71EA8">
        <w:rPr>
          <w:rFonts w:asciiTheme="majorBidi" w:hAnsiTheme="majorBidi" w:cstheme="majorBidi"/>
          <w:sz w:val="20"/>
          <w:szCs w:val="20"/>
        </w:rPr>
        <w:t xml:space="preserve"> and regulation policies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{"citationID":"lJaKMsme","properties":{"formattedCitation":"(Rouse, 2014a)","plainCitation":"(Rouse, 2014a)","noteIndex":0},"citationItems":[{"id":1224,"uris":["http://zotero.org/users/5664472/items/IVNXKY4Q"],"itemData":{"id":1224,"type":"webpage","container-title":"SearchCompliance","title":"IT Audit (Information Technology Audit)","URL":"https://searchcompliance.techtarget.com/definition/IT-audit-information-technology-audit","author":[{"family":"Rouse","given":"Margaret"}],"accessed":{"date-parts":[["2020",9,15]]},"issued":{"date-parts":[["2014",6]]}}}],"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rPr>
        <w:t>(Rouse, 2014a)</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Accountability and auditability </w:t>
      </w:r>
      <w:r w:rsidRPr="00F71EA8">
        <w:rPr>
          <w:rFonts w:asciiTheme="majorBidi" w:hAnsiTheme="majorBidi" w:cstheme="majorBidi"/>
          <w:sz w:val="20"/>
          <w:szCs w:val="20"/>
        </w:rPr>
        <w:t>enhance</w:t>
      </w:r>
      <w:r w:rsidR="00F71EA8" w:rsidRPr="00F71EA8">
        <w:rPr>
          <w:rFonts w:asciiTheme="majorBidi" w:hAnsiTheme="majorBidi" w:cstheme="majorBidi"/>
          <w:sz w:val="20"/>
          <w:szCs w:val="20"/>
        </w:rPr>
        <w:t xml:space="preserve"> the traceability</w:t>
      </w:r>
      <w:r>
        <w:rPr>
          <w:rFonts w:asciiTheme="majorBidi" w:hAnsiTheme="majorBidi" w:cstheme="majorBidi"/>
          <w:sz w:val="20"/>
          <w:szCs w:val="20"/>
        </w:rPr>
        <w:t xml:space="preserve"> and </w:t>
      </w:r>
      <w:r w:rsidRPr="00F71EA8">
        <w:rPr>
          <w:rFonts w:asciiTheme="majorBidi" w:hAnsiTheme="majorBidi" w:cstheme="majorBidi"/>
          <w:sz w:val="20"/>
          <w:szCs w:val="20"/>
        </w:rPr>
        <w:t>transparency</w:t>
      </w:r>
      <w:r w:rsidR="00F71EA8" w:rsidRPr="00F71EA8">
        <w:rPr>
          <w:rFonts w:asciiTheme="majorBidi" w:hAnsiTheme="majorBidi" w:cstheme="majorBidi"/>
          <w:sz w:val="20"/>
          <w:szCs w:val="20"/>
        </w:rPr>
        <w:t xml:space="preserve"> aspects of a digital health service. Therefore, to ensure traceability and information transparency, </w:t>
      </w:r>
      <w:r>
        <w:rPr>
          <w:rFonts w:asciiTheme="majorBidi" w:hAnsiTheme="majorBidi" w:cstheme="majorBidi"/>
          <w:sz w:val="20"/>
          <w:szCs w:val="20"/>
        </w:rPr>
        <w:t>PHC</w:t>
      </w:r>
      <w:r w:rsidR="00F71EA8" w:rsidRPr="00F71EA8">
        <w:rPr>
          <w:rFonts w:asciiTheme="majorBidi" w:hAnsiTheme="majorBidi" w:cstheme="majorBidi"/>
          <w:sz w:val="20"/>
          <w:szCs w:val="20"/>
        </w:rPr>
        <w:t xml:space="preserve"> service should maintain </w:t>
      </w:r>
      <w:r>
        <w:rPr>
          <w:rFonts w:asciiTheme="majorBidi" w:hAnsiTheme="majorBidi" w:cstheme="majorBidi"/>
          <w:sz w:val="20"/>
          <w:szCs w:val="20"/>
        </w:rPr>
        <w:t xml:space="preserve">internationally recognised </w:t>
      </w:r>
      <w:r w:rsidR="00F71EA8" w:rsidRPr="00F71EA8">
        <w:rPr>
          <w:rFonts w:asciiTheme="majorBidi" w:hAnsiTheme="majorBidi" w:cstheme="majorBidi"/>
          <w:sz w:val="20"/>
          <w:szCs w:val="20"/>
        </w:rPr>
        <w:t>standard</w:t>
      </w:r>
      <w:r>
        <w:rPr>
          <w:rFonts w:asciiTheme="majorBidi" w:hAnsiTheme="majorBidi" w:cstheme="majorBidi"/>
          <w:sz w:val="20"/>
          <w:szCs w:val="20"/>
        </w:rPr>
        <w:t>s</w:t>
      </w:r>
      <w:r w:rsidR="00F71EA8" w:rsidRPr="00F71EA8">
        <w:rPr>
          <w:rFonts w:asciiTheme="majorBidi" w:hAnsiTheme="majorBidi" w:cstheme="majorBidi"/>
          <w:sz w:val="20"/>
          <w:szCs w:val="20"/>
        </w:rPr>
        <w:t xml:space="preserve"> for</w:t>
      </w:r>
      <w:r>
        <w:rPr>
          <w:rFonts w:asciiTheme="majorBidi" w:hAnsiTheme="majorBidi" w:cstheme="majorBidi"/>
          <w:sz w:val="20"/>
          <w:szCs w:val="20"/>
        </w:rPr>
        <w:t xml:space="preserve"> data privacy,</w:t>
      </w:r>
      <w:r w:rsidR="00F71EA8" w:rsidRPr="00F71EA8">
        <w:rPr>
          <w:rFonts w:asciiTheme="majorBidi" w:hAnsiTheme="majorBidi" w:cstheme="majorBidi"/>
          <w:sz w:val="20"/>
          <w:szCs w:val="20"/>
        </w:rPr>
        <w:t xml:space="preserve"> security and performance </w:t>
      </w:r>
      <w:r>
        <w:rPr>
          <w:rFonts w:asciiTheme="majorBidi" w:hAnsiTheme="majorBidi" w:cstheme="majorBidi"/>
          <w:sz w:val="20"/>
          <w:szCs w:val="20"/>
        </w:rPr>
        <w:t>assessment</w:t>
      </w:r>
      <w:r w:rsidR="00F71EA8" w:rsidRPr="00F71EA8">
        <w:rPr>
          <w:rFonts w:asciiTheme="majorBidi" w:hAnsiTheme="majorBidi" w:cstheme="majorBidi"/>
          <w:sz w:val="20"/>
          <w:szCs w:val="20"/>
        </w:rPr>
        <w:t xml:space="preserve">. It may </w:t>
      </w:r>
      <w:r>
        <w:rPr>
          <w:rFonts w:asciiTheme="majorBidi" w:hAnsiTheme="majorBidi" w:cstheme="majorBidi"/>
          <w:sz w:val="20"/>
          <w:szCs w:val="20"/>
        </w:rPr>
        <w:t>include</w:t>
      </w:r>
      <w:r w:rsidR="00F71EA8" w:rsidRPr="00F71EA8">
        <w:rPr>
          <w:rFonts w:asciiTheme="majorBidi" w:hAnsiTheme="majorBidi" w:cstheme="majorBidi"/>
          <w:sz w:val="20"/>
          <w:szCs w:val="20"/>
        </w:rPr>
        <w:t xml:space="preserve"> collaboration initiatives such as </w:t>
      </w:r>
      <w:r>
        <w:rPr>
          <w:rFonts w:asciiTheme="majorBidi" w:hAnsiTheme="majorBidi" w:cstheme="majorBidi"/>
          <w:sz w:val="20"/>
          <w:szCs w:val="20"/>
        </w:rPr>
        <w:t>a</w:t>
      </w:r>
      <w:r w:rsidR="00F71EA8" w:rsidRPr="00F71EA8">
        <w:rPr>
          <w:rFonts w:asciiTheme="majorBidi" w:hAnsiTheme="majorBidi" w:cstheme="majorBidi"/>
          <w:sz w:val="20"/>
          <w:szCs w:val="20"/>
        </w:rPr>
        <w:t xml:space="preserve">) Computer Incident Response Centre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{"citationID":"lFd8KYSn","properties":{"formattedCitation":"(Ruefle et al., 2013; {\\i{}GDHP}, 2019)","plainCitation":"(Ruefle et al., 2013; 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id":1228,"uris":["http://zotero.org/users/5664472/items/UCXX4TSH"],"itemData":{"id":1228,"type":"document","language":"English","publisher":"New Zealand National Cyber Security Centre and Software Engineering Institute at Carnegie Mellon University","source":"Zotero","title":"New Zealand Security Incident Management Guide for Computer Security Incident Response Teams (CSIRTs)","URL":"https://www.ncsc.govt.nz/assets/NCSC-Documents/New-Zealand-Security-Incident-Management-Guide-for-Computer-Security-Incident-Response-Teams-CSIRTs.pdf","author":[{"family":"Ruefle","given":"Robin"},{"family":"Wyk","given":"Ken","non-dropping-particle":"van"},{"family":"Tosic","given":"Lana"}],"issued":{"date-parts":[["2013",5]]}}}],"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 xml:space="preserve">(Ruefle et al., 2013; </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w:t>
      </w:r>
      <w:r>
        <w:rPr>
          <w:rFonts w:asciiTheme="majorBidi" w:hAnsiTheme="majorBidi" w:cstheme="majorBidi"/>
          <w:sz w:val="20"/>
          <w:szCs w:val="20"/>
        </w:rPr>
        <w:t>b)</w:t>
      </w:r>
      <w:r w:rsidR="00F71EA8" w:rsidRPr="00F71EA8">
        <w:rPr>
          <w:rFonts w:asciiTheme="majorBidi" w:hAnsiTheme="majorBidi" w:cstheme="majorBidi"/>
          <w:sz w:val="20"/>
          <w:szCs w:val="20"/>
        </w:rPr>
        <w:t xml:space="preserve"> Real-time threat sharing among </w:t>
      </w:r>
      <w:r>
        <w:rPr>
          <w:rFonts w:asciiTheme="majorBidi" w:hAnsiTheme="majorBidi" w:cstheme="majorBidi"/>
          <w:sz w:val="20"/>
          <w:szCs w:val="20"/>
        </w:rPr>
        <w:t>various</w:t>
      </w:r>
      <w:r w:rsidR="00F71EA8" w:rsidRPr="00F71EA8">
        <w:rPr>
          <w:rFonts w:asciiTheme="majorBidi" w:hAnsiTheme="majorBidi" w:cstheme="majorBidi"/>
          <w:sz w:val="20"/>
          <w:szCs w:val="20"/>
        </w:rPr>
        <w:t xml:space="preserve"> health</w:t>
      </w:r>
      <w:r>
        <w:rPr>
          <w:rFonts w:asciiTheme="majorBidi" w:hAnsiTheme="majorBidi" w:cstheme="majorBidi"/>
          <w:sz w:val="20"/>
          <w:szCs w:val="20"/>
        </w:rPr>
        <w:t>care</w:t>
      </w:r>
      <w:r w:rsidR="00F71EA8" w:rsidRPr="00F71EA8">
        <w:rPr>
          <w:rFonts w:asciiTheme="majorBidi" w:hAnsiTheme="majorBidi" w:cstheme="majorBidi"/>
          <w:sz w:val="20"/>
          <w:szCs w:val="20"/>
        </w:rPr>
        <w:t xml:space="preserve"> </w:t>
      </w:r>
      <w:r>
        <w:rPr>
          <w:rFonts w:asciiTheme="majorBidi" w:hAnsiTheme="majorBidi" w:cstheme="majorBidi"/>
          <w:sz w:val="20"/>
          <w:szCs w:val="20"/>
        </w:rPr>
        <w:t>entities</w:t>
      </w:r>
      <w:r w:rsidR="00F71EA8" w:rsidRPr="00F71EA8">
        <w:rPr>
          <w:rFonts w:asciiTheme="majorBidi" w:hAnsiTheme="majorBidi" w:cstheme="majorBidi"/>
          <w:sz w:val="20"/>
          <w:szCs w:val="20"/>
        </w:rPr>
        <w:t xml:space="preserve"> using traffic light protocol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{"citationID":"SSnhgekw","properties":{"formattedCitation":"({\\i{}GDHP}, 2019)","plainCitation":"(GDHP,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w:t>
      </w:r>
      <w:r>
        <w:rPr>
          <w:rFonts w:asciiTheme="majorBidi" w:hAnsiTheme="majorBidi" w:cstheme="majorBidi"/>
          <w:sz w:val="20"/>
          <w:szCs w:val="20"/>
        </w:rPr>
        <w:t>c</w:t>
      </w:r>
      <w:r w:rsidR="00F71EA8" w:rsidRPr="00F71EA8">
        <w:rPr>
          <w:rFonts w:asciiTheme="majorBidi" w:hAnsiTheme="majorBidi" w:cstheme="majorBidi"/>
          <w:sz w:val="20"/>
          <w:szCs w:val="20"/>
        </w:rPr>
        <w:t xml:space="preserve">) Common Vulnerability Scoring System (CVSS) for all </w:t>
      </w:r>
      <w:r>
        <w:rPr>
          <w:rFonts w:asciiTheme="majorBidi" w:hAnsiTheme="majorBidi" w:cstheme="majorBidi"/>
          <w:sz w:val="20"/>
          <w:szCs w:val="20"/>
        </w:rPr>
        <w:t>healthcare</w:t>
      </w:r>
      <w:r w:rsidR="00F71EA8" w:rsidRPr="00F71EA8">
        <w:rPr>
          <w:rFonts w:asciiTheme="majorBidi" w:hAnsiTheme="majorBidi" w:cstheme="majorBidi"/>
          <w:sz w:val="20"/>
          <w:szCs w:val="20"/>
        </w:rPr>
        <w:t xml:space="preserve"> devices </w:t>
      </w:r>
      <w:r>
        <w:rPr>
          <w:rFonts w:asciiTheme="majorBidi" w:hAnsiTheme="majorBidi" w:cstheme="majorBidi"/>
          <w:sz w:val="20"/>
          <w:szCs w:val="20"/>
        </w:rPr>
        <w:t>connected with the</w:t>
      </w:r>
      <w:r w:rsidR="00F71EA8" w:rsidRPr="00F71EA8">
        <w:rPr>
          <w:rFonts w:asciiTheme="majorBidi" w:hAnsiTheme="majorBidi" w:cstheme="majorBidi"/>
          <w:sz w:val="20"/>
          <w:szCs w:val="20"/>
        </w:rPr>
        <w:t xml:space="preserve"> </w:t>
      </w:r>
      <w:r>
        <w:rPr>
          <w:rFonts w:asciiTheme="majorBidi" w:hAnsiTheme="majorBidi" w:cstheme="majorBidi"/>
          <w:sz w:val="20"/>
          <w:szCs w:val="20"/>
        </w:rPr>
        <w:t xml:space="preserve">PHC service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{"citationID":"P9F3i9L1","properties":{"formattedCitation":"({\\i{}GDPR}, 2018; Mell et al., 2007; Skierka, 2018)","plainCitation":"(GDPR, 2018; Mell et al., 2007; Skierka, 2018)","dontUpdate":true,"noteIndex":0},"citationItems":[{"id":1394,"uris":["http://zotero.org/users/5664472/items/B7XZHQSC"],"itemData":{"id":1394,"type":"webpage","abstract":"General Data Protection Regulation – Final legal text of the Regulation (EU) 2016/679 (EU GDPR). The official PDF and its recitals as a neatly arranged website. Additionally key issues of the GDPR are explained and further information from the data protection authorities is provided.","container-title":"General Data Protection Regulation (GDPR)","language":"en-US","title":"General Data Protection Regulation","title-short":"GDPR","URL":"https://gdpr-info.eu/","accessed":{"date-parts":[["2019",5,5]]},"issued":{"date-parts":[["2018",5,25]]}}},{"id":1227,"uris":["http://zotero.org/users/5664472/items/8LFT2QTK"],"itemData":{"id":1227,"type":"book","language":"en","source":"Zotero","title":"A Complete Guide to the Common Vulnerability Scoring System Version 2.0","author":[{"family":"Mell","given":"Peter"},{"family":"Scarfone","given":"Karen"},{"family":"Romanosky","given":"Sasha"}],"issued":{"date-parts":[["2007",7]]}}},{"id":159,"uris":["http://zotero.org/users/5664472/items/YHRUS87Q"],"itemData":{"id":159,"type":"paper-conference","abstract":"As healthcare is increasingly digitized and interconnected, medical systems are exposed to cybersecurity threats that can endanger patient health and safety. This paper examines how the convergence of safety and security risks in connected healthcare challenges the governance of medical systems safety in Europe. The analysis shows that the management of safety and security risks of medical systems requires the extension of existing governance mechanisms, including regulation, standards, and industry best practices, to combine both safety and cybersecurity in healthcare. It puts forward policy and industry recommendations for the improvement of medical systems cybersecurity in Europe, including premarket certification and post-market monitoring and surveillance mechanisms, effective information sharing, vulnerability handling, and patch management. The paper draws comparisons with medical device cybersecurity guidelines in the United States, and with technical controls, standards, and best practices in the domain of industrial control systems security.","container-title":"Living in the Internet of Things: Cybersecurity of the IoT - 2018","DOI":"10.1049/cp.2018.0002","event":"Living in the Internet of Things: Cybersecurity of the IoT - 2018","event-place":"London, UK","ISBN":"978-1-78561-843-7","language":"en","page":"2 (12 pp.)-2 (12 pp.)","publisher":"Institution of Engineering and Technology","publisher-place":"London, UK","source":"DOI.org (Crossref)","title":"The governance of safety and security risks in connected healthcare","URL":"https://digital-library.theiet.org/content/conferences/10.1049/cp.2018.0002","author":[{"family":"Skierka","given":"I.M."}],"accessed":{"date-parts":[["2019",4,27]]},"issued":{"date-parts":[["2018"]]}}}],"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GDPR</w:t>
      </w:r>
      <w:r w:rsidR="00142517" w:rsidRPr="00142517">
        <w:rPr>
          <w:rFonts w:ascii="Times New Roman" w:hAnsi="Times New Roman" w:cs="Times New Roman"/>
          <w:sz w:val="20"/>
          <w:szCs w:val="24"/>
        </w:rPr>
        <w:t>, 2018; Mell et al., 2007)</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and </w:t>
      </w:r>
      <w:r>
        <w:rPr>
          <w:rFonts w:asciiTheme="majorBidi" w:hAnsiTheme="majorBidi" w:cstheme="majorBidi"/>
          <w:sz w:val="20"/>
          <w:szCs w:val="20"/>
        </w:rPr>
        <w:t>d</w:t>
      </w:r>
      <w:r w:rsidR="00F71EA8" w:rsidRPr="00F71EA8">
        <w:rPr>
          <w:rFonts w:asciiTheme="majorBidi" w:hAnsiTheme="majorBidi" w:cstheme="majorBidi"/>
          <w:sz w:val="20"/>
          <w:szCs w:val="20"/>
        </w:rPr>
        <w:t xml:space="preserve">) Privacy Impact Assessment (PIA) </w:t>
      </w:r>
      <w:r w:rsidR="00F71EA8"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{"citationID":"MCke8HEY","properties":{"formattedCitation":"({\\i{}European Commission}, 2016; {\\i{}GDPR}, 2018)","plainCitation":"(European Commission, 2016; GDPR, 2018)","noteIndex":0},"citationItems":[{"id":1394,"uris":["http://zotero.org/users/5664472/items/B7XZHQSC"],"itemData":{"id":1394,"type":"webpage","abstract":"General Data Protection Regulation – Final legal text of the Regulation (EU) 2016/679 (EU GDPR). The official PDF and its recitals as a neatly arranged website. Additionally key issues of the GDPR are explained and further information from the data protection authorities is provided.","container-title":"General Data Protection Regulation (GDPR)","language":"en-US","title":"General Data Protection Regulation","title-short":"GDPR","URL":"https://gdpr-info.eu/","accessed":{"date-parts":[["2019",5,5]]},"issued":{"date-parts":[["2018",5,25]]}}},{"id":1190,"uris":["http://zotero.org/users/5664472/items/ZGKIH9WX"],"itemData":{"id":1190,"type":"bill","language":"English","title":"Final draft of the Code of Conduct on privacy for mHealth apps","title-short":"European Commission","URL":"https://ec.europa.eu/digital-single-market/en/news/code-conduct-privacy-mhealth-apps-has-been-finalised","accessed":{"date-parts":[["2019",7,14]]},"issued":{"date-parts":[["2016",6,7]]}}}],"schema":"https://github.com/citation-style-language/schema/raw/master/csl-citation.json"} </w:instrText>
      </w:r>
      <w:r w:rsidR="00F71EA8"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European Commission</w:t>
      </w:r>
      <w:r w:rsidR="00142517" w:rsidRPr="00142517">
        <w:rPr>
          <w:rFonts w:ascii="Times New Roman" w:hAnsi="Times New Roman" w:cs="Times New Roman"/>
          <w:sz w:val="20"/>
          <w:szCs w:val="24"/>
        </w:rPr>
        <w:t xml:space="preserve">, 2016; </w:t>
      </w:r>
      <w:r w:rsidR="00142517" w:rsidRPr="00142517">
        <w:rPr>
          <w:rFonts w:ascii="Times New Roman" w:hAnsi="Times New Roman" w:cs="Times New Roman"/>
          <w:i/>
          <w:iCs/>
          <w:sz w:val="20"/>
          <w:szCs w:val="24"/>
        </w:rPr>
        <w:t>GDPR</w:t>
      </w:r>
      <w:r w:rsidR="00142517" w:rsidRPr="00142517">
        <w:rPr>
          <w:rFonts w:ascii="Times New Roman" w:hAnsi="Times New Roman" w:cs="Times New Roman"/>
          <w:sz w:val="20"/>
          <w:szCs w:val="24"/>
        </w:rPr>
        <w:t>, 2018)</w:t>
      </w:r>
      <w:r w:rsidR="00F71EA8" w:rsidRPr="00F71EA8">
        <w:rPr>
          <w:rFonts w:asciiTheme="majorBidi" w:hAnsiTheme="majorBidi" w:cstheme="majorBidi"/>
          <w:sz w:val="20"/>
          <w:szCs w:val="20"/>
        </w:rPr>
        <w:fldChar w:fldCharType="end"/>
      </w:r>
      <w:r w:rsidR="00F71EA8" w:rsidRPr="00F71EA8">
        <w:rPr>
          <w:rFonts w:asciiTheme="majorBidi" w:hAnsiTheme="majorBidi" w:cstheme="majorBidi"/>
          <w:sz w:val="20"/>
          <w:szCs w:val="20"/>
        </w:rPr>
        <w:t xml:space="preserve">. These initiatives </w:t>
      </w:r>
      <w:r>
        <w:rPr>
          <w:rFonts w:asciiTheme="majorBidi" w:hAnsiTheme="majorBidi" w:cstheme="majorBidi"/>
          <w:sz w:val="20"/>
          <w:szCs w:val="20"/>
        </w:rPr>
        <w:t>assure</w:t>
      </w:r>
      <w:r w:rsidR="00F71EA8" w:rsidRPr="00F71EA8">
        <w:rPr>
          <w:rFonts w:asciiTheme="majorBidi" w:hAnsiTheme="majorBidi" w:cstheme="majorBidi"/>
          <w:sz w:val="20"/>
          <w:szCs w:val="20"/>
        </w:rPr>
        <w:t xml:space="preserve"> accountability and auditability of the service as per the regulatory policy and add value to care delivery.</w:t>
      </w:r>
    </w:p>
    <w:p w14:paraId="032523C0" w14:textId="77777777" w:rsidR="00F71EA8" w:rsidRPr="00F71EA8" w:rsidRDefault="00F71EA8" w:rsidP="00F71EA8">
      <w:pPr>
        <w:spacing w:after="0" w:line="240" w:lineRule="auto"/>
        <w:jc w:val="both"/>
        <w:rPr>
          <w:rFonts w:asciiTheme="majorBidi" w:hAnsiTheme="majorBidi" w:cstheme="majorBidi"/>
          <w:b/>
          <w:bCs/>
          <w:i/>
          <w:iCs/>
          <w:sz w:val="20"/>
          <w:szCs w:val="20"/>
        </w:rPr>
      </w:pPr>
      <w:r w:rsidRPr="00F71EA8">
        <w:rPr>
          <w:rFonts w:asciiTheme="majorBidi" w:hAnsiTheme="majorBidi" w:cstheme="majorBidi"/>
          <w:b/>
          <w:bCs/>
          <w:i/>
          <w:iCs/>
          <w:sz w:val="20"/>
          <w:szCs w:val="20"/>
        </w:rPr>
        <w:t>Interoperability</w:t>
      </w:r>
    </w:p>
    <w:p w14:paraId="22E7DE0E" w14:textId="70DFCADB" w:rsidR="00F71EA8" w:rsidRPr="00A42355" w:rsidRDefault="00F71EA8" w:rsidP="00142517">
      <w:pPr>
        <w:spacing w:line="240" w:lineRule="auto"/>
        <w:jc w:val="both"/>
        <w:rPr>
          <w:rFonts w:asciiTheme="majorBidi" w:hAnsiTheme="majorBidi" w:cstheme="majorBidi"/>
          <w:sz w:val="20"/>
          <w:szCs w:val="20"/>
        </w:rPr>
      </w:pPr>
      <w:r w:rsidRPr="00F71EA8">
        <w:rPr>
          <w:rFonts w:asciiTheme="majorBidi" w:hAnsiTheme="majorBidi" w:cstheme="majorBidi"/>
          <w:sz w:val="20"/>
          <w:szCs w:val="20"/>
        </w:rPr>
        <w:t xml:space="preserve">By definition, interoperability means the </w:t>
      </w:r>
      <w:r w:rsidR="00A42355">
        <w:rPr>
          <w:rFonts w:asciiTheme="majorBidi" w:hAnsiTheme="majorBidi" w:cstheme="majorBidi"/>
          <w:sz w:val="20"/>
          <w:szCs w:val="20"/>
        </w:rPr>
        <w:t>ability</w:t>
      </w:r>
      <w:r w:rsidRPr="00F71EA8">
        <w:rPr>
          <w:rFonts w:asciiTheme="majorBidi" w:hAnsiTheme="majorBidi" w:cstheme="majorBidi"/>
          <w:sz w:val="20"/>
          <w:szCs w:val="20"/>
        </w:rPr>
        <w:t xml:space="preserve"> of strategic data </w:t>
      </w:r>
      <w:r w:rsidR="00A42355">
        <w:rPr>
          <w:rFonts w:asciiTheme="majorBidi" w:hAnsiTheme="majorBidi" w:cstheme="majorBidi"/>
          <w:sz w:val="20"/>
          <w:szCs w:val="20"/>
        </w:rPr>
        <w:t>access, interchange</w:t>
      </w:r>
      <w:r w:rsidRPr="00F71EA8">
        <w:rPr>
          <w:rFonts w:asciiTheme="majorBidi" w:hAnsiTheme="majorBidi" w:cstheme="majorBidi"/>
          <w:sz w:val="20"/>
          <w:szCs w:val="20"/>
        </w:rPr>
        <w:t xml:space="preserve">, integration, and </w:t>
      </w:r>
      <w:r w:rsidR="00A42355">
        <w:rPr>
          <w:rFonts w:asciiTheme="majorBidi" w:hAnsiTheme="majorBidi" w:cstheme="majorBidi"/>
          <w:sz w:val="20"/>
          <w:szCs w:val="20"/>
        </w:rPr>
        <w:t>application</w:t>
      </w:r>
      <w:r w:rsidRPr="00F71EA8">
        <w:rPr>
          <w:rFonts w:asciiTheme="majorBidi" w:hAnsiTheme="majorBidi" w:cstheme="majorBidi"/>
          <w:sz w:val="20"/>
          <w:szCs w:val="20"/>
        </w:rPr>
        <w:t xml:space="preserve"> within health information systems</w:t>
      </w:r>
      <w:r w:rsidR="00A42355">
        <w:rPr>
          <w:rFonts w:asciiTheme="majorBidi" w:hAnsiTheme="majorBidi" w:cstheme="majorBidi"/>
          <w:sz w:val="20"/>
          <w:szCs w:val="20"/>
        </w:rPr>
        <w:t xml:space="preserve"> </w:t>
      </w:r>
      <w:r w:rsidRPr="00F71EA8">
        <w:rPr>
          <w:rFonts w:asciiTheme="majorBidi" w:hAnsiTheme="majorBidi" w:cstheme="majorBidi"/>
          <w:sz w:val="20"/>
          <w:szCs w:val="20"/>
        </w:rPr>
        <w:t xml:space="preserve">and devices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{"citationID":"9a3fPMJq","properties":{"formattedCitation":"({\\i{}HIMSS}, 2020)","plainCitation":"(HIMSS, 2020)","noteIndex":0},"citationItems":[{"id":1288,"uris":["http://zotero.org/users/5664472/items/RSR2W53R"],"itemData":{"id":1288,"type":"webpage","abstract":"Discover key insights about interoperability and better understand how data sharing can make a difference in healthcare.","container-title":"Healthcare Information and Management Systems Society","language":"en","title":"Interoperability in Healthcare","title-short":"HIMSS","URL":"https://www.himss.org/resources/interoperability-healthcare","accessed":{"date-parts":[["2020",8,26]]},"issued":{"date-parts":[["2020",7,30]]}}}],"schema":"https://github.com/citation-style-language/schema/raw/master/csl-citation.json"}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HIMSS</w:t>
      </w:r>
      <w:r w:rsidR="00142517" w:rsidRPr="00142517">
        <w:rPr>
          <w:rFonts w:ascii="Times New Roman" w:hAnsi="Times New Roman" w:cs="Times New Roman"/>
          <w:sz w:val="20"/>
          <w:szCs w:val="24"/>
        </w:rPr>
        <w:t>, 2020)</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w:t>
      </w:r>
      <w:r w:rsidR="00A42355">
        <w:rPr>
          <w:rFonts w:asciiTheme="majorBidi" w:hAnsiTheme="majorBidi" w:cstheme="majorBidi"/>
          <w:sz w:val="20"/>
          <w:szCs w:val="20"/>
        </w:rPr>
        <w:t xml:space="preserve"> </w:t>
      </w:r>
      <w:r w:rsidR="00A42355" w:rsidRPr="00F71EA8">
        <w:rPr>
          <w:rFonts w:asciiTheme="majorBidi" w:hAnsiTheme="majorBidi" w:cstheme="majorBidi"/>
          <w:sz w:val="20"/>
          <w:szCs w:val="20"/>
        </w:rPr>
        <w:t xml:space="preserve">Interoperability </w:t>
      </w:r>
      <w:r w:rsidR="00A42355">
        <w:rPr>
          <w:rFonts w:asciiTheme="majorBidi" w:hAnsiTheme="majorBidi" w:cstheme="majorBidi"/>
          <w:sz w:val="20"/>
          <w:szCs w:val="20"/>
        </w:rPr>
        <w:t>assures</w:t>
      </w:r>
      <w:r w:rsidR="00A42355" w:rsidRPr="00F71EA8">
        <w:rPr>
          <w:rFonts w:asciiTheme="majorBidi" w:hAnsiTheme="majorBidi" w:cstheme="majorBidi"/>
          <w:sz w:val="20"/>
          <w:szCs w:val="20"/>
        </w:rPr>
        <w:t xml:space="preserve"> the "standard meaning" of data for all the connected healthcare </w:t>
      </w:r>
      <w:r w:rsidR="00A42355">
        <w:rPr>
          <w:rFonts w:asciiTheme="majorBidi" w:hAnsiTheme="majorBidi" w:cstheme="majorBidi"/>
          <w:sz w:val="20"/>
          <w:szCs w:val="20"/>
        </w:rPr>
        <w:t>entities</w:t>
      </w:r>
      <w:r w:rsidR="00A42355" w:rsidRPr="00F71EA8">
        <w:rPr>
          <w:rFonts w:asciiTheme="majorBidi" w:hAnsiTheme="majorBidi" w:cstheme="majorBidi"/>
          <w:sz w:val="20"/>
          <w:szCs w:val="20"/>
        </w:rPr>
        <w:t>.</w:t>
      </w:r>
      <w:r w:rsidRPr="00F71EA8">
        <w:rPr>
          <w:rFonts w:asciiTheme="majorBidi" w:hAnsiTheme="majorBidi" w:cstheme="majorBidi"/>
          <w:sz w:val="20"/>
          <w:szCs w:val="20"/>
        </w:rPr>
        <w:t xml:space="preserve"> </w:t>
      </w:r>
      <w:r w:rsidR="00A42355">
        <w:rPr>
          <w:rFonts w:asciiTheme="majorBidi" w:hAnsiTheme="majorBidi" w:cstheme="majorBidi"/>
          <w:sz w:val="20"/>
          <w:szCs w:val="20"/>
        </w:rPr>
        <w:t>It</w:t>
      </w:r>
      <w:r w:rsidRPr="00F71EA8">
        <w:rPr>
          <w:rFonts w:asciiTheme="majorBidi" w:hAnsiTheme="majorBidi" w:cstheme="majorBidi"/>
          <w:sz w:val="20"/>
          <w:szCs w:val="20"/>
        </w:rPr>
        <w:t xml:space="preserve"> enables seamless health data </w:t>
      </w:r>
      <w:r w:rsidR="00A42355">
        <w:rPr>
          <w:rFonts w:asciiTheme="majorBidi" w:hAnsiTheme="majorBidi" w:cstheme="majorBidi"/>
          <w:sz w:val="20"/>
          <w:szCs w:val="20"/>
        </w:rPr>
        <w:t xml:space="preserve">interchange </w:t>
      </w:r>
      <w:r w:rsidRPr="00F71EA8">
        <w:rPr>
          <w:rFonts w:asciiTheme="majorBidi" w:hAnsiTheme="majorBidi" w:cstheme="majorBidi"/>
          <w:sz w:val="20"/>
          <w:szCs w:val="20"/>
        </w:rPr>
        <w:t xml:space="preserve">within or beyond the </w:t>
      </w:r>
      <w:r w:rsidR="00A42355">
        <w:rPr>
          <w:rFonts w:asciiTheme="majorBidi" w:hAnsiTheme="majorBidi" w:cstheme="majorBidi"/>
          <w:sz w:val="20"/>
          <w:szCs w:val="20"/>
        </w:rPr>
        <w:t>facility</w:t>
      </w:r>
      <w:r w:rsidRPr="00F71EA8">
        <w:rPr>
          <w:rFonts w:asciiTheme="majorBidi" w:hAnsiTheme="majorBidi" w:cstheme="majorBidi"/>
          <w:sz w:val="20"/>
          <w:szCs w:val="20"/>
        </w:rPr>
        <w:t xml:space="preserve"> and regional boundary. In the current digital health context, </w:t>
      </w:r>
      <w:r w:rsidR="00A42355">
        <w:rPr>
          <w:rFonts w:asciiTheme="majorBidi" w:hAnsiTheme="majorBidi" w:cstheme="majorBidi"/>
          <w:sz w:val="20"/>
          <w:szCs w:val="20"/>
        </w:rPr>
        <w:t>it is</w:t>
      </w:r>
      <w:r w:rsidRPr="00F71EA8">
        <w:rPr>
          <w:rFonts w:asciiTheme="majorBidi" w:hAnsiTheme="majorBidi" w:cstheme="majorBidi"/>
          <w:sz w:val="20"/>
          <w:szCs w:val="20"/>
        </w:rPr>
        <w:t xml:space="preserve"> a pre-condition. </w:t>
      </w:r>
      <w:r w:rsidR="00A42355">
        <w:rPr>
          <w:rFonts w:asciiTheme="majorBidi" w:hAnsiTheme="majorBidi" w:cstheme="majorBidi"/>
          <w:sz w:val="20"/>
          <w:szCs w:val="20"/>
        </w:rPr>
        <w:t>Therefore, t</w:t>
      </w:r>
      <w:r w:rsidRPr="00F71EA8">
        <w:rPr>
          <w:rFonts w:asciiTheme="majorBidi" w:hAnsiTheme="majorBidi" w:cstheme="majorBidi"/>
          <w:sz w:val="20"/>
          <w:szCs w:val="20"/>
        </w:rPr>
        <w:t>o achieve interoperability, digital health services</w:t>
      </w:r>
      <w:r w:rsidR="00A42355">
        <w:rPr>
          <w:rFonts w:asciiTheme="majorBidi" w:hAnsiTheme="majorBidi" w:cstheme="majorBidi"/>
          <w:sz w:val="20"/>
          <w:szCs w:val="20"/>
        </w:rPr>
        <w:t xml:space="preserve"> such as PHC</w:t>
      </w:r>
      <w:r w:rsidRPr="00F71EA8">
        <w:rPr>
          <w:rFonts w:asciiTheme="majorBidi" w:hAnsiTheme="majorBidi" w:cstheme="majorBidi"/>
          <w:sz w:val="20"/>
          <w:szCs w:val="20"/>
        </w:rPr>
        <w:t xml:space="preserve"> must confirm user identification with confidence</w:t>
      </w:r>
      <w:r w:rsidR="00A42355">
        <w:rPr>
          <w:rFonts w:asciiTheme="majorBidi" w:hAnsiTheme="majorBidi" w:cstheme="majorBidi"/>
          <w:sz w:val="20"/>
          <w:szCs w:val="20"/>
        </w:rPr>
        <w:t xml:space="preserve"> </w:t>
      </w:r>
      <w:r w:rsidR="00A42355" w:rsidRPr="00F71EA8">
        <w:rPr>
          <w:rFonts w:asciiTheme="majorBidi" w:hAnsiTheme="majorBidi" w:cstheme="majorBidi"/>
          <w:sz w:val="20"/>
          <w:szCs w:val="20"/>
        </w:rPr>
        <w:t>in the system</w:t>
      </w:r>
      <w:r w:rsidRPr="00F71EA8">
        <w:rPr>
          <w:rFonts w:asciiTheme="majorBidi" w:hAnsiTheme="majorBidi" w:cstheme="majorBidi"/>
          <w:sz w:val="20"/>
          <w:szCs w:val="20"/>
        </w:rPr>
        <w:t xml:space="preserve"> </w:t>
      </w:r>
      <w:r w:rsidRPr="00F71EA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{"citationID":"qLgJLIA5","properties":{"formattedCitation":"({\\i{}GDHP}, 2019)","plainCitation":"(GDHP,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schema":"https://github.com/citation-style-language/schema/raw/master/csl-citation.json"} </w:instrText>
      </w:r>
      <w:r w:rsidRPr="00F71EA8">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F71EA8">
        <w:rPr>
          <w:rFonts w:asciiTheme="majorBidi" w:hAnsiTheme="majorBidi" w:cstheme="majorBidi"/>
          <w:sz w:val="20"/>
          <w:szCs w:val="20"/>
        </w:rPr>
        <w:fldChar w:fldCharType="end"/>
      </w:r>
      <w:r w:rsidRPr="00F71EA8">
        <w:rPr>
          <w:rFonts w:asciiTheme="majorBidi" w:hAnsiTheme="majorBidi" w:cstheme="majorBidi"/>
          <w:sz w:val="20"/>
          <w:szCs w:val="20"/>
        </w:rPr>
        <w:t xml:space="preserve">. It </w:t>
      </w:r>
      <w:r w:rsidR="00A42355">
        <w:rPr>
          <w:rFonts w:asciiTheme="majorBidi" w:hAnsiTheme="majorBidi" w:cstheme="majorBidi"/>
          <w:sz w:val="20"/>
          <w:szCs w:val="20"/>
        </w:rPr>
        <w:t>can be</w:t>
      </w:r>
      <w:r w:rsidRPr="00F71EA8">
        <w:rPr>
          <w:rFonts w:asciiTheme="majorBidi" w:hAnsiTheme="majorBidi" w:cstheme="majorBidi"/>
          <w:sz w:val="20"/>
          <w:szCs w:val="20"/>
        </w:rPr>
        <w:t xml:space="preserve"> achiev</w:t>
      </w:r>
      <w:r w:rsidR="00A42355">
        <w:rPr>
          <w:rFonts w:asciiTheme="majorBidi" w:hAnsiTheme="majorBidi" w:cstheme="majorBidi"/>
          <w:sz w:val="20"/>
          <w:szCs w:val="20"/>
        </w:rPr>
        <w:t>ed</w:t>
      </w:r>
      <w:r w:rsidRPr="00F71EA8">
        <w:rPr>
          <w:rFonts w:asciiTheme="majorBidi" w:hAnsiTheme="majorBidi" w:cstheme="majorBidi"/>
          <w:sz w:val="20"/>
          <w:szCs w:val="20"/>
        </w:rPr>
        <w:t xml:space="preserve"> by </w:t>
      </w:r>
      <w:r w:rsidR="00A42355">
        <w:rPr>
          <w:rFonts w:asciiTheme="majorBidi" w:hAnsiTheme="majorBidi" w:cstheme="majorBidi"/>
          <w:sz w:val="20"/>
          <w:szCs w:val="20"/>
        </w:rPr>
        <w:t>applying</w:t>
      </w:r>
      <w:r w:rsidRPr="00F71EA8">
        <w:rPr>
          <w:rFonts w:asciiTheme="majorBidi" w:hAnsiTheme="majorBidi" w:cstheme="majorBidi"/>
          <w:sz w:val="20"/>
          <w:szCs w:val="20"/>
        </w:rPr>
        <w:t xml:space="preserve"> standardised identifiers</w:t>
      </w:r>
      <w:r w:rsidR="00A42355">
        <w:rPr>
          <w:rFonts w:asciiTheme="majorBidi" w:hAnsiTheme="majorBidi" w:cstheme="majorBidi"/>
          <w:sz w:val="20"/>
          <w:szCs w:val="20"/>
        </w:rPr>
        <w:t>, for instance,</w:t>
      </w:r>
      <w:r w:rsidRPr="00F71EA8">
        <w:rPr>
          <w:rFonts w:asciiTheme="majorBidi" w:hAnsiTheme="majorBidi" w:cstheme="majorBidi"/>
          <w:sz w:val="20"/>
          <w:szCs w:val="20"/>
        </w:rPr>
        <w:t xml:space="preserve"> the national health index.</w:t>
      </w:r>
      <w:r w:rsidR="00142517">
        <w:rPr>
          <w:rFonts w:asciiTheme="majorBidi" w:hAnsiTheme="majorBidi" w:cstheme="majorBidi"/>
          <w:sz w:val="20"/>
          <w:szCs w:val="20"/>
        </w:rPr>
        <w:t xml:space="preserve"> </w:t>
      </w:r>
      <w:r w:rsidR="00A42355" w:rsidRPr="00A42355">
        <w:rPr>
          <w:rFonts w:asciiTheme="majorBidi" w:hAnsiTheme="majorBidi" w:cstheme="majorBidi"/>
          <w:sz w:val="20"/>
          <w:szCs w:val="20"/>
        </w:rPr>
        <w:t>PHC</w:t>
      </w:r>
      <w:r w:rsidRPr="00A42355">
        <w:rPr>
          <w:rFonts w:asciiTheme="majorBidi" w:hAnsiTheme="majorBidi" w:cstheme="majorBidi"/>
          <w:sz w:val="20"/>
          <w:szCs w:val="20"/>
        </w:rPr>
        <w:t xml:space="preserve"> service must adopt a</w:t>
      </w:r>
      <w:r w:rsidR="00A42355" w:rsidRPr="00A42355">
        <w:rPr>
          <w:rFonts w:asciiTheme="majorBidi" w:hAnsiTheme="majorBidi" w:cstheme="majorBidi"/>
          <w:sz w:val="20"/>
          <w:szCs w:val="20"/>
        </w:rPr>
        <w:t>n internationally recognised,</w:t>
      </w:r>
      <w:r w:rsidRPr="00A42355">
        <w:rPr>
          <w:rFonts w:asciiTheme="majorBidi" w:hAnsiTheme="majorBidi" w:cstheme="majorBidi"/>
          <w:sz w:val="20"/>
          <w:szCs w:val="20"/>
        </w:rPr>
        <w:t xml:space="preserve"> common interoperability standard </w:t>
      </w:r>
      <w:r w:rsidRPr="00A4235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{"citationID":"lZSvkXcF","properties":{"formattedCitation":"({\\i{}European Commission}, 2014; {\\i{}GDHP}, 2019; Ferranti et al., 2006; Liaw et al., 2014; McMorrow, 2014)","plainCitation":"(European Commission, 2014; GDHP, 2019; Ferranti et al., 2006; Liaw et al., 2014; McMorrow, 2014)","noteIndex":0},"citationItems":[{"id":1210,"uris":["http://zotero.org/users/5664472/items/FM3TMLKE"],"itemData":{"id":1210,"type":"report","language":"English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id":1109,"uris":["http://zotero.org/users/5664472/items/XUX7QZQW"],"itemData":{"id":1109,"type":"report","genre":"Final Report","language":"English","publisher":"European Commission","title":"eHealth Stakeholder Group report: Perspectives and Recommendations on Interoperability","title-short":"European Commission","URL":"http://ec.europa.eu/information_society/newsroom/cf/dae/document.cfm?doc_id=5168","accessed":{"date-parts":[["2020",8,17]]},"issued":{"date-parts":[["2014",3]]}}},{"id":1107,"uris":["http://zotero.org/users/5664472/items/JQ8CRJKH"],"itemData":{"id":1107,"type":"article-journal","abstract":"Background\nInformation in Electronic Health Records (EHRs) are being promoted for use in clinical decision support, patient registers, measurement and improvement of integration and quality of care, and translational research. To do this EHR-derived data product creators need to logically integrate patient data with information and knowledge from diverse sources and contexts.\nObjective\nTo examine the accuracy of an ontological multi-attribute approach to create a Type 2 Diabetes Mellitus (T2DM) register to support integrated care.\nMethods\nGuided by Australian best practice guidelines, the T2DM diagnosis and management ontology was conceptualized, contextualized and validated by clinicians; it was then specified, formalized and implemented. The algorithm was standardized against the domain ontology in SNOMED CT-AU. Accuracy of the implementation was measured in 4 datasets of varying sizes (927–12,057 patients) and an integrated dataset (23,793 patients). Results were cross-checked with sensitivity and specificity calculated with 95% confidence intervals.\nResults\nIncrementally integrating Reason for Visit (RFV), medication (Rx), and pathology in the algorithm identified nearly100% of T2DM cases. Incrementally integrating the four datasets improved accuracy; controlling for sample size, data incompleteness and duplicates. Manual validation confirmed the accuracy of the algorithm.\nConclusion\nIntegrating multiple data elements within an EHR using ontology-based case-finding algorithms can improve the accuracy of the diagnosis and compensate for suboptimal data quality, and hence creating a dataset that is more fit-for-purpose. This clinical and pragmatic application of ontologies to EHR data improves the integration of data and the potential for better use of data to improve the quality of care.","collection-title":"Special Section: Methods in Clinical Research Informatics","container-title":"Journal of Biomedical Informatics","DOI":"10.1016/j.jbi.2014.07.016","ISSN":"1532-0464","journalAbbreviation":"Journal of Biomedical Informatics","language":"en","page":"364-372","source":"ScienceDirect","title":"Integrating electronic health record information to support integrated care: Practical application of ontologies to improve the accuracy of diabetes disease registers","title-short":"Integrating electronic health record information to support integrated care","volume":"52","author":[{"family":"Liaw","given":"Siaw-Teng"},{"family":"Taggart","given":"Jane"},{"family":"Yu","given":"Hairong"},{"family":"Lusignan","given":"Simon","dropping-particle":"de"},{"family":"Kuziemsky","given":"Craig"},{"family":"Hayen","given":"Andrew"}],"issued":{"date-parts":[["2014",12,1]]}}},{"id":1110,"uris":["http://zotero.org/users/5664472/items/RJIAHK9M"],"itemData":{"id":1110,"type":"document","language":"en","publisher":"Agency for Healthcare Research and Quality","source":"Zotero","title":"A Robust Health Data Infrastructure","URL":"https://www.healthit.gov/sites/default/files/ptp13-700hhs_white.pdf","author":[{"family":"McMorrow","given":"Dan"}],"accessed":{"date-parts":[["2020",8,13]]},"issued":{"date-parts":[["2014",4]]}}},{"id":1100,"uris":["http://zotero.org/users/5664472/items/BFRMYATP"],"itemData":{"id":1100,"type":"article-journal","abstract":"Health care provides many opportunities in which the sharing of data between independent sites is highly desirable. Several standards are required to produce the functional and semantic interoperability necessary to support the exchange of such data: a common reference information model, a common set of data elements, a common terminology, common data structures, and a common transport standard. This paper addresses one component of that set of standards: the ability to create a document that supports the exchange of structured data components. Unfortunately, two different standards development organizations have produced similar standards for that purpose based on different information models: Health Level 7 (HL</w:instrText>
      </w:r>
      <w:r w:rsidR="00142517" w:rsidRPr="00142517">
        <w:rPr>
          <w:rFonts w:asciiTheme="majorBidi" w:hAnsiTheme="majorBidi" w:cstheme="majorBidi"/>
          <w:sz w:val="20"/>
          <w:szCs w:val="20"/>
          <w:lang w:val="it-IT"/>
        </w:rPr>
        <w:instrText xml:space="preserve">7)'s Clinical Document Architecture (CDA) and The American Society for Testing and Materials (ASTM International) Continuity of Care Record (CCR). The coexistence of both standards might require mapping from one standard to the other, which could be accompanied by a loss of information and functionality. This paper examines and compares the two standards, emphasizes the strengths and weaknesses of each, and proposes a strategy of harmonization to enhance future progress. While some of the authors are members of HL7 and/or ASTM International, the authors stress that the viewpoints represented in this paper are those of the authors and do not represent the official viewpoints of either HL7 or of ASTM International.","container-title":"Journal of the American Medical Informatics Association : JAMIA","DOI":"10.1197/jamia.M1963","ISSN":"1067-5027","issue":"3","journalAbbreviation":"J Am Med Inform Assoc","note":"PMID: 16501180\nPMCID: PMC1513652","page":"245-252","source":"PubMed Central","title":"The Clinical Document Architecture and the Continuity of Care Record: A Critical Analysis","title-short":"The Clinical Document Architecture and the Continuity of Care Record","volume":"13","author":[{"family":"Ferranti","given":"Jeffrey M."},{"family":"Musser","given":"R. Clayton"},{"family":"Kawamoto","given":"Kensaku"},{"family":"Hammond","given":"W. Ed"}],"issued":{"date-parts":[["2006"]]}}}],"schema":"https://github.com/citation-style-language/schema/raw/master/csl-citation.json"} </w:instrText>
      </w:r>
      <w:r w:rsidRPr="00A42355">
        <w:rPr>
          <w:rFonts w:asciiTheme="majorBidi" w:hAnsiTheme="majorBidi" w:cstheme="majorBidi"/>
          <w:sz w:val="20"/>
          <w:szCs w:val="20"/>
        </w:rPr>
        <w:fldChar w:fldCharType="separate"/>
      </w:r>
      <w:r w:rsidR="00142517" w:rsidRPr="00142517">
        <w:rPr>
          <w:rFonts w:ascii="Times New Roman" w:hAnsi="Times New Roman" w:cs="Times New Roman"/>
          <w:sz w:val="20"/>
          <w:szCs w:val="24"/>
          <w:lang w:val="it-IT"/>
        </w:rPr>
        <w:t>(</w:t>
      </w:r>
      <w:r w:rsidR="00142517" w:rsidRPr="00142517">
        <w:rPr>
          <w:rFonts w:ascii="Times New Roman" w:hAnsi="Times New Roman" w:cs="Times New Roman"/>
          <w:i/>
          <w:iCs/>
          <w:sz w:val="20"/>
          <w:szCs w:val="24"/>
          <w:lang w:val="it-IT"/>
        </w:rPr>
        <w:t>European Commission</w:t>
      </w:r>
      <w:r w:rsidR="00142517" w:rsidRPr="00142517">
        <w:rPr>
          <w:rFonts w:ascii="Times New Roman" w:hAnsi="Times New Roman" w:cs="Times New Roman"/>
          <w:sz w:val="20"/>
          <w:szCs w:val="24"/>
          <w:lang w:val="it-IT"/>
        </w:rPr>
        <w:t xml:space="preserve">, 2014; </w:t>
      </w:r>
      <w:r w:rsidR="00142517" w:rsidRPr="00142517">
        <w:rPr>
          <w:rFonts w:ascii="Times New Roman" w:hAnsi="Times New Roman" w:cs="Times New Roman"/>
          <w:i/>
          <w:iCs/>
          <w:sz w:val="20"/>
          <w:szCs w:val="24"/>
          <w:lang w:val="it-IT"/>
        </w:rPr>
        <w:t>GDHP</w:t>
      </w:r>
      <w:r w:rsidR="00142517" w:rsidRPr="00142517">
        <w:rPr>
          <w:rFonts w:ascii="Times New Roman" w:hAnsi="Times New Roman" w:cs="Times New Roman"/>
          <w:sz w:val="20"/>
          <w:szCs w:val="24"/>
          <w:lang w:val="it-IT"/>
        </w:rPr>
        <w:t>, 2019; Ferranti et al., 2006; Liaw et al., 2014; McMorrow, 2014)</w:t>
      </w:r>
      <w:r w:rsidRPr="00A42355">
        <w:rPr>
          <w:rFonts w:asciiTheme="majorBidi" w:hAnsiTheme="majorBidi" w:cstheme="majorBidi"/>
          <w:sz w:val="20"/>
          <w:szCs w:val="20"/>
        </w:rPr>
        <w:fldChar w:fldCharType="end"/>
      </w:r>
      <w:r w:rsidRPr="00142517">
        <w:rPr>
          <w:rFonts w:asciiTheme="majorBidi" w:hAnsiTheme="majorBidi" w:cstheme="majorBidi"/>
          <w:sz w:val="20"/>
          <w:szCs w:val="20"/>
          <w:lang w:val="it-IT"/>
        </w:rPr>
        <w:t xml:space="preserve">. </w:t>
      </w:r>
      <w:r w:rsidRPr="00A42355">
        <w:rPr>
          <w:rFonts w:asciiTheme="majorBidi" w:hAnsiTheme="majorBidi" w:cstheme="majorBidi"/>
          <w:sz w:val="20"/>
          <w:szCs w:val="20"/>
        </w:rPr>
        <w:t>The</w:t>
      </w:r>
      <w:r w:rsidR="00A42355" w:rsidRPr="00A42355">
        <w:rPr>
          <w:rFonts w:asciiTheme="majorBidi" w:hAnsiTheme="majorBidi" w:cstheme="majorBidi"/>
          <w:sz w:val="20"/>
          <w:szCs w:val="20"/>
        </w:rPr>
        <w:t xml:space="preserve"> PHC service providers</w:t>
      </w:r>
      <w:r w:rsidRPr="00A42355">
        <w:rPr>
          <w:rFonts w:asciiTheme="majorBidi" w:hAnsiTheme="majorBidi" w:cstheme="majorBidi"/>
          <w:sz w:val="20"/>
          <w:szCs w:val="20"/>
        </w:rPr>
        <w:t xml:space="preserve"> may consider open-source platforms such as </w:t>
      </w:r>
      <w:proofErr w:type="spellStart"/>
      <w:r w:rsidRPr="00A42355">
        <w:rPr>
          <w:rFonts w:asciiTheme="majorBidi" w:hAnsiTheme="majorBidi" w:cstheme="majorBidi"/>
          <w:sz w:val="20"/>
          <w:szCs w:val="20"/>
        </w:rPr>
        <w:t>OpenMRS</w:t>
      </w:r>
      <w:proofErr w:type="spellEnd"/>
      <w:r w:rsidRPr="00A42355">
        <w:rPr>
          <w:rFonts w:asciiTheme="majorBidi" w:hAnsiTheme="majorBidi" w:cstheme="majorBidi"/>
          <w:sz w:val="20"/>
          <w:szCs w:val="20"/>
        </w:rPr>
        <w:t xml:space="preserve">, </w:t>
      </w:r>
      <w:proofErr w:type="spellStart"/>
      <w:r w:rsidRPr="00A42355">
        <w:rPr>
          <w:rFonts w:asciiTheme="majorBidi" w:hAnsiTheme="majorBidi" w:cstheme="majorBidi"/>
          <w:sz w:val="20"/>
          <w:szCs w:val="20"/>
        </w:rPr>
        <w:t>CommCare</w:t>
      </w:r>
      <w:proofErr w:type="spellEnd"/>
      <w:r w:rsidRPr="00A42355">
        <w:rPr>
          <w:rFonts w:asciiTheme="majorBidi" w:hAnsiTheme="majorBidi" w:cstheme="majorBidi"/>
          <w:sz w:val="20"/>
          <w:szCs w:val="20"/>
        </w:rPr>
        <w:t xml:space="preserve">, </w:t>
      </w:r>
      <w:proofErr w:type="spellStart"/>
      <w:r w:rsidRPr="00A42355">
        <w:rPr>
          <w:rFonts w:asciiTheme="majorBidi" w:hAnsiTheme="majorBidi" w:cstheme="majorBidi"/>
          <w:sz w:val="20"/>
          <w:szCs w:val="20"/>
        </w:rPr>
        <w:t>OpenSRP</w:t>
      </w:r>
      <w:proofErr w:type="spellEnd"/>
      <w:r w:rsidRPr="00A42355">
        <w:rPr>
          <w:rFonts w:asciiTheme="majorBidi" w:hAnsiTheme="majorBidi" w:cstheme="majorBidi"/>
          <w:sz w:val="20"/>
          <w:szCs w:val="20"/>
        </w:rPr>
        <w:t>,</w:t>
      </w:r>
      <w:r w:rsidR="00A42355" w:rsidRPr="00A42355">
        <w:rPr>
          <w:rFonts w:asciiTheme="majorBidi" w:hAnsiTheme="majorBidi" w:cstheme="majorBidi"/>
          <w:sz w:val="20"/>
          <w:szCs w:val="20"/>
        </w:rPr>
        <w:t xml:space="preserve"> </w:t>
      </w:r>
      <w:r w:rsidRPr="00A42355">
        <w:rPr>
          <w:rFonts w:asciiTheme="majorBidi" w:hAnsiTheme="majorBidi" w:cstheme="majorBidi"/>
          <w:sz w:val="20"/>
          <w:szCs w:val="20"/>
        </w:rPr>
        <w:t xml:space="preserve">and </w:t>
      </w:r>
      <w:proofErr w:type="spellStart"/>
      <w:r w:rsidRPr="00A42355">
        <w:rPr>
          <w:rFonts w:asciiTheme="majorBidi" w:hAnsiTheme="majorBidi" w:cstheme="majorBidi"/>
          <w:sz w:val="20"/>
          <w:szCs w:val="20"/>
        </w:rPr>
        <w:t>OpenDataKit</w:t>
      </w:r>
      <w:proofErr w:type="spellEnd"/>
      <w:r w:rsidRPr="00A42355">
        <w:rPr>
          <w:rFonts w:asciiTheme="majorBidi" w:hAnsiTheme="majorBidi" w:cstheme="majorBidi"/>
          <w:sz w:val="20"/>
          <w:szCs w:val="20"/>
        </w:rPr>
        <w:t>.</w:t>
      </w:r>
      <w:r w:rsidR="00142517">
        <w:rPr>
          <w:rFonts w:asciiTheme="majorBidi" w:hAnsiTheme="majorBidi" w:cstheme="majorBidi"/>
          <w:sz w:val="20"/>
          <w:szCs w:val="20"/>
        </w:rPr>
        <w:t xml:space="preserve"> </w:t>
      </w:r>
      <w:r w:rsidRPr="00A42355">
        <w:rPr>
          <w:rFonts w:asciiTheme="majorBidi" w:hAnsiTheme="majorBidi" w:cstheme="majorBidi"/>
          <w:sz w:val="20"/>
          <w:szCs w:val="20"/>
        </w:rPr>
        <w:t xml:space="preserve">They may also consider proprietary </w:t>
      </w:r>
      <w:r w:rsidR="00A42355" w:rsidRPr="00A42355">
        <w:rPr>
          <w:rFonts w:asciiTheme="majorBidi" w:hAnsiTheme="majorBidi" w:cstheme="majorBidi"/>
          <w:sz w:val="20"/>
          <w:szCs w:val="20"/>
        </w:rPr>
        <w:t xml:space="preserve">interoperability </w:t>
      </w:r>
      <w:r w:rsidRPr="00A42355">
        <w:rPr>
          <w:rFonts w:asciiTheme="majorBidi" w:hAnsiTheme="majorBidi" w:cstheme="majorBidi"/>
          <w:sz w:val="20"/>
          <w:szCs w:val="20"/>
        </w:rPr>
        <w:t xml:space="preserve">standards such as FHIR. These interoperability </w:t>
      </w:r>
      <w:r w:rsidR="00A42355" w:rsidRPr="00A42355">
        <w:rPr>
          <w:rFonts w:asciiTheme="majorBidi" w:hAnsiTheme="majorBidi" w:cstheme="majorBidi"/>
          <w:sz w:val="20"/>
          <w:szCs w:val="20"/>
        </w:rPr>
        <w:t>standards</w:t>
      </w:r>
      <w:r w:rsidRPr="00A42355">
        <w:rPr>
          <w:rFonts w:asciiTheme="majorBidi" w:hAnsiTheme="majorBidi" w:cstheme="majorBidi"/>
          <w:sz w:val="20"/>
          <w:szCs w:val="20"/>
        </w:rPr>
        <w:t xml:space="preserve"> are </w:t>
      </w:r>
      <w:r w:rsidR="00A42355" w:rsidRPr="00A42355">
        <w:rPr>
          <w:rFonts w:asciiTheme="majorBidi" w:hAnsiTheme="majorBidi" w:cstheme="majorBidi"/>
          <w:sz w:val="20"/>
          <w:szCs w:val="20"/>
        </w:rPr>
        <w:t>flexible</w:t>
      </w:r>
      <w:r w:rsidRPr="00A42355">
        <w:rPr>
          <w:rFonts w:asciiTheme="majorBidi" w:hAnsiTheme="majorBidi" w:cstheme="majorBidi"/>
          <w:sz w:val="20"/>
          <w:szCs w:val="20"/>
        </w:rPr>
        <w:t xml:space="preserve"> to </w:t>
      </w:r>
      <w:r w:rsidR="00A42355" w:rsidRPr="00A42355">
        <w:rPr>
          <w:rFonts w:asciiTheme="majorBidi" w:hAnsiTheme="majorBidi" w:cstheme="majorBidi"/>
          <w:sz w:val="20"/>
          <w:szCs w:val="20"/>
        </w:rPr>
        <w:t>integrate</w:t>
      </w:r>
      <w:r w:rsidRPr="00A42355">
        <w:rPr>
          <w:rFonts w:asciiTheme="majorBidi" w:hAnsiTheme="majorBidi" w:cstheme="majorBidi"/>
          <w:sz w:val="20"/>
          <w:szCs w:val="20"/>
        </w:rPr>
        <w:t xml:space="preserve"> and offer </w:t>
      </w:r>
      <w:r w:rsidR="00A42355" w:rsidRPr="00A42355">
        <w:rPr>
          <w:rFonts w:asciiTheme="majorBidi" w:hAnsiTheme="majorBidi" w:cstheme="majorBidi"/>
          <w:sz w:val="20"/>
          <w:szCs w:val="20"/>
        </w:rPr>
        <w:t>user</w:t>
      </w:r>
      <w:r w:rsidR="00BA7700">
        <w:rPr>
          <w:rFonts w:asciiTheme="majorBidi" w:hAnsiTheme="majorBidi" w:cstheme="majorBidi"/>
          <w:sz w:val="20"/>
          <w:szCs w:val="20"/>
        </w:rPr>
        <w:t>-</w:t>
      </w:r>
      <w:r w:rsidR="00A42355" w:rsidRPr="00A42355">
        <w:rPr>
          <w:rFonts w:asciiTheme="majorBidi" w:hAnsiTheme="majorBidi" w:cstheme="majorBidi"/>
          <w:sz w:val="20"/>
          <w:szCs w:val="20"/>
        </w:rPr>
        <w:t>friendly</w:t>
      </w:r>
      <w:r w:rsidRPr="00A42355">
        <w:rPr>
          <w:rFonts w:asciiTheme="majorBidi" w:hAnsiTheme="majorBidi" w:cstheme="majorBidi"/>
          <w:sz w:val="20"/>
          <w:szCs w:val="20"/>
        </w:rPr>
        <w:t xml:space="preserve"> feature</w:t>
      </w:r>
      <w:r w:rsidR="00A42355" w:rsidRPr="00A42355">
        <w:rPr>
          <w:rFonts w:asciiTheme="majorBidi" w:hAnsiTheme="majorBidi" w:cstheme="majorBidi"/>
          <w:sz w:val="20"/>
          <w:szCs w:val="20"/>
        </w:rPr>
        <w:t>s and</w:t>
      </w:r>
      <w:r w:rsidRPr="00A42355">
        <w:rPr>
          <w:rFonts w:asciiTheme="majorBidi" w:hAnsiTheme="majorBidi" w:cstheme="majorBidi"/>
          <w:sz w:val="20"/>
          <w:szCs w:val="20"/>
        </w:rPr>
        <w:t xml:space="preserve"> support. Interoperability has the potential to improve</w:t>
      </w:r>
      <w:r w:rsidR="00A42355" w:rsidRPr="00A42355">
        <w:rPr>
          <w:rFonts w:asciiTheme="majorBidi" w:hAnsiTheme="majorBidi" w:cstheme="majorBidi"/>
          <w:sz w:val="20"/>
          <w:szCs w:val="20"/>
        </w:rPr>
        <w:t xml:space="preserve"> the quality of coordinated care,</w:t>
      </w:r>
      <w:r w:rsidRPr="00A42355">
        <w:rPr>
          <w:rFonts w:asciiTheme="majorBidi" w:hAnsiTheme="majorBidi" w:cstheme="majorBidi"/>
          <w:sz w:val="20"/>
          <w:szCs w:val="20"/>
        </w:rPr>
        <w:t xml:space="preserve"> access equity, and service delivery of </w:t>
      </w:r>
      <w:r w:rsidR="00A42355" w:rsidRPr="00A42355">
        <w:rPr>
          <w:rFonts w:asciiTheme="majorBidi" w:hAnsiTheme="majorBidi" w:cstheme="majorBidi"/>
          <w:sz w:val="20"/>
          <w:szCs w:val="20"/>
        </w:rPr>
        <w:t xml:space="preserve">PHC </w:t>
      </w:r>
      <w:r w:rsidRPr="00A4235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{"citationID":"nkqDNheZ","properties":{"formattedCitation":"({\\i{}GDHP}, 2019)","plainCitation":"(GDHP,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schema":"https://github.com/citation-style-language/schema/raw/master/csl-citation.json"} </w:instrText>
      </w:r>
      <w:r w:rsidRPr="00A42355">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A42355">
        <w:rPr>
          <w:rFonts w:asciiTheme="majorBidi" w:hAnsiTheme="majorBidi" w:cstheme="majorBidi"/>
          <w:sz w:val="20"/>
          <w:szCs w:val="20"/>
        </w:rPr>
        <w:fldChar w:fldCharType="end"/>
      </w:r>
      <w:r w:rsidRPr="00A42355">
        <w:rPr>
          <w:rFonts w:asciiTheme="majorBidi" w:hAnsiTheme="majorBidi" w:cstheme="majorBidi"/>
          <w:sz w:val="20"/>
          <w:szCs w:val="20"/>
        </w:rPr>
        <w:t>.</w:t>
      </w:r>
    </w:p>
    <w:p w14:paraId="343E81EC" w14:textId="77777777" w:rsidR="00F71EA8" w:rsidRPr="00F71EA8" w:rsidRDefault="00F71EA8" w:rsidP="00F71EA8">
      <w:pPr>
        <w:spacing w:after="0" w:line="240" w:lineRule="auto"/>
        <w:jc w:val="both"/>
        <w:rPr>
          <w:rFonts w:asciiTheme="majorBidi" w:hAnsiTheme="majorBidi" w:cstheme="majorBidi"/>
          <w:i/>
          <w:iCs/>
          <w:sz w:val="20"/>
          <w:szCs w:val="20"/>
        </w:rPr>
      </w:pPr>
      <w:r w:rsidRPr="00F71EA8">
        <w:rPr>
          <w:rFonts w:asciiTheme="majorBidi" w:hAnsiTheme="majorBidi" w:cstheme="majorBidi"/>
          <w:b/>
          <w:bCs/>
          <w:i/>
          <w:iCs/>
          <w:sz w:val="20"/>
          <w:szCs w:val="20"/>
        </w:rPr>
        <w:t>Scalability</w:t>
      </w:r>
    </w:p>
    <w:p w14:paraId="5D0B1579" w14:textId="70ED7DA2" w:rsidR="00F71EA8" w:rsidRDefault="00F71EA8" w:rsidP="00142517">
      <w:pPr>
        <w:spacing w:after="0" w:line="240" w:lineRule="auto"/>
        <w:jc w:val="both"/>
        <w:rPr>
          <w:rFonts w:asciiTheme="majorBidi" w:hAnsiTheme="majorBidi" w:cstheme="majorBidi"/>
          <w:sz w:val="20"/>
          <w:szCs w:val="20"/>
        </w:rPr>
      </w:pPr>
      <w:r w:rsidRPr="00A42355">
        <w:rPr>
          <w:rFonts w:asciiTheme="majorBidi" w:hAnsiTheme="majorBidi" w:cstheme="majorBidi"/>
          <w:sz w:val="20"/>
          <w:szCs w:val="20"/>
        </w:rPr>
        <w:t>Scalability is the expansion-</w:t>
      </w:r>
      <w:r w:rsidRPr="00BA7700">
        <w:rPr>
          <w:rFonts w:asciiTheme="majorBidi" w:hAnsiTheme="majorBidi" w:cstheme="majorBidi"/>
          <w:sz w:val="20"/>
          <w:szCs w:val="20"/>
        </w:rPr>
        <w:t xml:space="preserve">ability of the system in proportion to the system's gradual need </w:t>
      </w:r>
      <w:r w:rsidRPr="00BA7700">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{"citationID":"xZ0wKHqJ","properties":{"formattedCitation":"(Bondi, 2000)","plainCitation":"(Bondi, 2000)","noteIndex":0},"citationItems":[{"id":1282,"uris":["http://zotero.org/users/5664472/items/ZJCPWSKX"],"itemData":{"id":1282,"type":"paper-conference","collection-title":"WOSP '00","container-title":"Proceedings of the 2nd international workshop on Software and performance","DOI":"10.1145/350391.350432","event-place":"New York, NY, USA","ISBN":"978-1-58113-195-6","page":"195–203","publisher":"Association for Computing Machinery","publisher-place":"New York, NY, USA","source":"ACM Digital Library","title":"Characteristics of scalability and their impact on performance","URL":"https://doi.org/10.1145/350391.350432","author":[{"family":"Bondi","given":"André B."}],"accessed":{"date-parts":[["2020",8,26]]},"issued":{"date-parts":[["2000",9,1]]}}}],"schema":"https://github.com/citation-style-language/schema/raw/master/csl-citation.json"} </w:instrText>
      </w:r>
      <w:r w:rsidRPr="00BA7700">
        <w:rPr>
          <w:rFonts w:asciiTheme="majorBidi" w:hAnsiTheme="majorBidi" w:cstheme="majorBidi"/>
          <w:sz w:val="20"/>
          <w:szCs w:val="20"/>
        </w:rPr>
        <w:fldChar w:fldCharType="separate"/>
      </w:r>
      <w:r w:rsidR="00142517" w:rsidRPr="00142517">
        <w:rPr>
          <w:rFonts w:ascii="Times New Roman" w:hAnsi="Times New Roman" w:cs="Times New Roman"/>
          <w:sz w:val="20"/>
        </w:rPr>
        <w:t>(Bondi, 2000)</w:t>
      </w:r>
      <w:r w:rsidRPr="00BA7700">
        <w:rPr>
          <w:rFonts w:asciiTheme="majorBidi" w:hAnsiTheme="majorBidi" w:cstheme="majorBidi"/>
          <w:sz w:val="20"/>
          <w:szCs w:val="20"/>
        </w:rPr>
        <w:fldChar w:fldCharType="end"/>
      </w:r>
      <w:r w:rsidRPr="00BA7700">
        <w:rPr>
          <w:rFonts w:asciiTheme="majorBidi" w:hAnsiTheme="majorBidi" w:cstheme="majorBidi"/>
          <w:sz w:val="20"/>
          <w:szCs w:val="20"/>
        </w:rPr>
        <w:t xml:space="preserve">. </w:t>
      </w:r>
      <w:r w:rsidR="00A42355" w:rsidRPr="00BA7700">
        <w:rPr>
          <w:rFonts w:asciiTheme="majorBidi" w:hAnsiTheme="majorBidi" w:cstheme="majorBidi"/>
          <w:sz w:val="20"/>
          <w:szCs w:val="20"/>
        </w:rPr>
        <w:t>It is always demand driven</w:t>
      </w:r>
      <w:r w:rsidRPr="00BA7700">
        <w:rPr>
          <w:rFonts w:asciiTheme="majorBidi" w:hAnsiTheme="majorBidi" w:cstheme="majorBidi"/>
          <w:sz w:val="20"/>
          <w:szCs w:val="20"/>
        </w:rPr>
        <w:t xml:space="preserve">. As the current technology infrastructure of digital health services is becoming ineffectual </w:t>
      </w:r>
      <w:r w:rsidR="00BA7700">
        <w:rPr>
          <w:rFonts w:asciiTheme="majorBidi" w:hAnsiTheme="majorBidi" w:cstheme="majorBidi"/>
          <w:sz w:val="20"/>
          <w:szCs w:val="20"/>
        </w:rPr>
        <w:t>in supporting</w:t>
      </w:r>
      <w:r w:rsidRPr="00BA7700">
        <w:rPr>
          <w:rFonts w:asciiTheme="majorBidi" w:hAnsiTheme="majorBidi" w:cstheme="majorBidi"/>
          <w:sz w:val="20"/>
          <w:szCs w:val="20"/>
        </w:rPr>
        <w:t xml:space="preserve"> the current and future health data needs </w:t>
      </w:r>
      <w:r w:rsidRPr="00BA7700">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{"citationID":"CQjkBXdp","properties":{"formattedCitation":"(Svensson, 2019; Zahid et al., 2021)","plainCitation":"(Svensson, 2019; Zahid et al., 2021)","noteIndex":0},"citationItems":[{"id":849,"uris":["http://zotero.org/users/5664472/items/657RBIVA"],"itemData":{"id":849,"type":"webpage","abstract":"United Nations' SDG Goal 3 is to ensure healthy lives and to promote wellbeing for all. In the modern day, the human body can be broken down to bits and bytes;","language":"en-US","note":"source: cfi.co","title":"Digital Health: Answer to Challenges of UN SDG 3 | CFI.co","title-short":"Digital Health","URL":"https://cfi.co/sustainability/2019/11/digital-health-answer-to-challenges-of-un-sdg-3/","author":[{"family":"Svensson","given":"Tor"}],"accessed":{"date-parts":[["2020",2,28]]},"issued":{"date-parts":[["2019",11,11]]}}},{"id":1689,"uris":["http://zotero.org/users/5664472/items/65R38L95"],"itemData":{"id":1689,"type":"article-journal","abstract":"Background\nOf the Sustainable Development Goals (SDGs), the third presents the opportunity for a predictive universal digital healthcare ecosystem, capable of informing early warning, assisting in risk reduction and guiding management of national and global health risks. However, in reality, the existing technology infrastructure of digital healthcare systems is insufficient, failing to satisfy current and future data needs.\nObjective\nThis paper systematically reviews emerging information technologies for data modelling and analytics that have potential to achieve Data-Centric Health-Care (DCHC) for the envisioned objective of sustainable healthcare. The goal of this review is to: 1) identify emerging information technologies with potential for data modelling and analytics, and 2) explore recent research of these technologies in DCHC.\nFindings\nA total of 1619 relevant papers have been identified and analysed in this review. Of these, 69 were probed deeply. Our analysis found that the extant research focused on elder care, rehabilitation, chronic diseases, and healthcare service delivery. Use-cases of the emerging information technologies included providing assistance, monitoring, self-care and self-management, diagnosis, risk prediction, well-being awareness, personalized healthcare, and qualitative and/or quantitative service enhancement. Limitations identified in the studies included vendor hardware specificity, issues with user interface and usability, inadequate features, interoperability, scalability, and compatibility, unjustifiable costs and insufficient evaluation in terms of validation.\nConclusion\nAchievement of a predictive universal digital healthcare ecosystem in the current context is a challenge. State-of-the-art technologies demand user centric design, data privacy and protection measures, transparency, interoperability, scalability, and compatibility to achieve the SDG objective of sustainable healthcare by 2030.","container-title":"International Journal of Medical Informatics","DOI":"10.1016/j.ijmedinf.2021.104420","ISSN":"1386-5056","journalAbbreviation":"International Journal of Medical Informatics","language":"en","page":"104420","source":"ScienceDirect","title":"A systematic review of emerging information technologies for sustainable data-centric health-care","volume":"149","author":[{"family":"Zahid","given":"Arnob"},{"family":"Poulsen","given":"Jennifer Kay"},{"family":"Sharma","given":"Ravi"},{"family":"Wingreen","given":"Stephen C."}],"issued":{"date-parts":[["2021",5,1]]}}}],"schema":"https://github.com/citation-style-language/schema/raw/master/csl-citation.json"} </w:instrText>
      </w:r>
      <w:r w:rsidRPr="00BA7700">
        <w:rPr>
          <w:rFonts w:asciiTheme="majorBidi" w:hAnsiTheme="majorBidi" w:cstheme="majorBidi"/>
          <w:sz w:val="20"/>
          <w:szCs w:val="20"/>
        </w:rPr>
        <w:fldChar w:fldCharType="separate"/>
      </w:r>
      <w:r w:rsidR="00142517" w:rsidRPr="00142517">
        <w:rPr>
          <w:rFonts w:ascii="Times New Roman" w:hAnsi="Times New Roman" w:cs="Times New Roman"/>
          <w:sz w:val="20"/>
        </w:rPr>
        <w:t>(Svensson, 2019; Zahid et al., 2021)</w:t>
      </w:r>
      <w:r w:rsidRPr="00BA7700">
        <w:rPr>
          <w:rFonts w:asciiTheme="majorBidi" w:hAnsiTheme="majorBidi" w:cstheme="majorBidi"/>
          <w:sz w:val="20"/>
          <w:szCs w:val="20"/>
        </w:rPr>
        <w:fldChar w:fldCharType="end"/>
      </w:r>
      <w:r w:rsidRPr="00BA7700">
        <w:rPr>
          <w:rFonts w:asciiTheme="majorBidi" w:hAnsiTheme="majorBidi" w:cstheme="majorBidi"/>
          <w:sz w:val="20"/>
          <w:szCs w:val="20"/>
        </w:rPr>
        <w:t xml:space="preserve">, </w:t>
      </w:r>
      <w:r w:rsidR="00A42355" w:rsidRPr="00BA7700">
        <w:rPr>
          <w:rFonts w:asciiTheme="majorBidi" w:hAnsiTheme="majorBidi" w:cstheme="majorBidi"/>
          <w:sz w:val="20"/>
          <w:szCs w:val="20"/>
        </w:rPr>
        <w:t>PHC service</w:t>
      </w:r>
      <w:r w:rsidRPr="00BA7700">
        <w:rPr>
          <w:rFonts w:asciiTheme="majorBidi" w:hAnsiTheme="majorBidi" w:cstheme="majorBidi"/>
          <w:sz w:val="20"/>
          <w:szCs w:val="20"/>
        </w:rPr>
        <w:t xml:space="preserve"> must </w:t>
      </w:r>
      <w:r w:rsidR="00A42355" w:rsidRPr="00BA7700">
        <w:rPr>
          <w:rFonts w:asciiTheme="majorBidi" w:hAnsiTheme="majorBidi" w:cstheme="majorBidi"/>
          <w:sz w:val="20"/>
          <w:szCs w:val="20"/>
        </w:rPr>
        <w:t xml:space="preserve">action </w:t>
      </w:r>
      <w:r w:rsidRPr="00BA7700">
        <w:rPr>
          <w:rFonts w:asciiTheme="majorBidi" w:hAnsiTheme="majorBidi" w:cstheme="majorBidi"/>
          <w:sz w:val="20"/>
          <w:szCs w:val="20"/>
        </w:rPr>
        <w:t>for</w:t>
      </w:r>
      <w:r w:rsidR="00A42355" w:rsidRPr="00BA7700">
        <w:rPr>
          <w:rFonts w:asciiTheme="majorBidi" w:hAnsiTheme="majorBidi" w:cstheme="majorBidi"/>
          <w:sz w:val="20"/>
          <w:szCs w:val="20"/>
        </w:rPr>
        <w:t xml:space="preserve"> the needed</w:t>
      </w:r>
      <w:r w:rsidRPr="00BA7700">
        <w:rPr>
          <w:rFonts w:asciiTheme="majorBidi" w:hAnsiTheme="majorBidi" w:cstheme="majorBidi"/>
          <w:sz w:val="20"/>
          <w:szCs w:val="20"/>
        </w:rPr>
        <w:t xml:space="preserve"> system scalability. </w:t>
      </w:r>
      <w:r w:rsidR="00A42355" w:rsidRPr="00BA7700">
        <w:rPr>
          <w:rFonts w:asciiTheme="majorBidi" w:hAnsiTheme="majorBidi" w:cstheme="majorBidi"/>
          <w:sz w:val="20"/>
          <w:szCs w:val="20"/>
        </w:rPr>
        <w:t xml:space="preserve">In </w:t>
      </w:r>
      <w:r w:rsidR="00BA7700">
        <w:rPr>
          <w:rFonts w:asciiTheme="majorBidi" w:hAnsiTheme="majorBidi" w:cstheme="majorBidi"/>
          <w:sz w:val="20"/>
          <w:szCs w:val="20"/>
        </w:rPr>
        <w:t>compliance</w:t>
      </w:r>
      <w:r w:rsidR="00A42355" w:rsidRPr="00BA7700">
        <w:rPr>
          <w:rFonts w:asciiTheme="majorBidi" w:hAnsiTheme="majorBidi" w:cstheme="majorBidi"/>
          <w:sz w:val="20"/>
          <w:szCs w:val="20"/>
        </w:rPr>
        <w:t xml:space="preserve"> with the regulatory guideline, PHC service should </w:t>
      </w:r>
      <w:r w:rsidR="00BA7700">
        <w:rPr>
          <w:rFonts w:asciiTheme="majorBidi" w:hAnsiTheme="majorBidi" w:cstheme="majorBidi"/>
          <w:sz w:val="20"/>
          <w:szCs w:val="20"/>
        </w:rPr>
        <w:t xml:space="preserve">be </w:t>
      </w:r>
      <w:r w:rsidR="00A42355" w:rsidRPr="00BA7700">
        <w:rPr>
          <w:rFonts w:asciiTheme="majorBidi" w:hAnsiTheme="majorBidi" w:cstheme="majorBidi"/>
          <w:sz w:val="20"/>
          <w:szCs w:val="20"/>
        </w:rPr>
        <w:t xml:space="preserve">able to incorporate </w:t>
      </w:r>
      <w:r w:rsidRPr="00BA7700">
        <w:rPr>
          <w:rFonts w:asciiTheme="majorBidi" w:hAnsiTheme="majorBidi" w:cstheme="majorBidi"/>
          <w:sz w:val="20"/>
          <w:szCs w:val="20"/>
        </w:rPr>
        <w:t xml:space="preserve">emerging information technologies and Fitness devices </w:t>
      </w:r>
      <w:r w:rsidR="00A42355" w:rsidRPr="00BA7700">
        <w:rPr>
          <w:rFonts w:asciiTheme="majorBidi" w:hAnsiTheme="majorBidi" w:cstheme="majorBidi"/>
          <w:sz w:val="20"/>
          <w:szCs w:val="20"/>
        </w:rPr>
        <w:t>in</w:t>
      </w:r>
      <w:r w:rsidR="00BA7700">
        <w:rPr>
          <w:rFonts w:asciiTheme="majorBidi" w:hAnsiTheme="majorBidi" w:cstheme="majorBidi"/>
          <w:sz w:val="20"/>
          <w:szCs w:val="20"/>
        </w:rPr>
        <w:t>to</w:t>
      </w:r>
      <w:r w:rsidRPr="00BA7700">
        <w:rPr>
          <w:rFonts w:asciiTheme="majorBidi" w:hAnsiTheme="majorBidi" w:cstheme="majorBidi"/>
          <w:sz w:val="20"/>
          <w:szCs w:val="20"/>
        </w:rPr>
        <w:t xml:space="preserve"> the </w:t>
      </w:r>
      <w:r w:rsidR="00A42355" w:rsidRPr="00BA7700">
        <w:rPr>
          <w:rFonts w:asciiTheme="majorBidi" w:hAnsiTheme="majorBidi" w:cstheme="majorBidi"/>
          <w:sz w:val="20"/>
          <w:szCs w:val="20"/>
        </w:rPr>
        <w:t>eco</w:t>
      </w:r>
      <w:r w:rsidRPr="00BA7700">
        <w:rPr>
          <w:rFonts w:asciiTheme="majorBidi" w:hAnsiTheme="majorBidi" w:cstheme="majorBidi"/>
          <w:sz w:val="20"/>
          <w:szCs w:val="20"/>
        </w:rPr>
        <w:t xml:space="preserve">system. </w:t>
      </w:r>
      <w:r w:rsidR="00A42355" w:rsidRPr="00BA7700">
        <w:rPr>
          <w:rFonts w:asciiTheme="majorBidi" w:hAnsiTheme="majorBidi" w:cstheme="majorBidi"/>
          <w:sz w:val="20"/>
          <w:szCs w:val="20"/>
        </w:rPr>
        <w:t>Moreover</w:t>
      </w:r>
      <w:r w:rsidRPr="00BA7700">
        <w:rPr>
          <w:rFonts w:asciiTheme="majorBidi" w:hAnsiTheme="majorBidi" w:cstheme="majorBidi"/>
          <w:sz w:val="20"/>
          <w:szCs w:val="20"/>
        </w:rPr>
        <w:t>, they should strictly monitor minimum data quality standard</w:t>
      </w:r>
      <w:r w:rsidR="00A42355" w:rsidRPr="00BA7700">
        <w:rPr>
          <w:rFonts w:asciiTheme="majorBidi" w:hAnsiTheme="majorBidi" w:cstheme="majorBidi"/>
          <w:sz w:val="20"/>
          <w:szCs w:val="20"/>
        </w:rPr>
        <w:t>s and maintenance</w:t>
      </w:r>
      <w:r w:rsidRPr="00BA7700">
        <w:rPr>
          <w:rFonts w:asciiTheme="majorBidi" w:hAnsiTheme="majorBidi" w:cstheme="majorBidi"/>
          <w:sz w:val="20"/>
          <w:szCs w:val="20"/>
        </w:rPr>
        <w:t xml:space="preserve"> </w:t>
      </w:r>
      <w:r w:rsidRPr="00BA7700">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{"citationID":"nPyl5x82","properties":{"formattedCitation":"({\\i{}Global Digital Health Partnership}, 2019; {\\i{}Principles for Digital Development Working Group}, 2016b; {\\i{}GDHP}, 2019)","plainCitation":"(Global Digital Health Partnership, 2019; Principles for Digital Development Working Group, 2016b; GDHP, 2019)","dontUpdate":true,"noteIndex":0},"citationItems":[{"id":1210,"uris":["http://zotero.org/users/5664472/items/FM3TMLKE"],"itemData":{"id":1210,"type":"report","language":"English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id":1111,"uris":["http://zotero.org/users/5664472/items/3U77JLJP"],"itemData":{"id":1111,"type":"report","publisher":"Global Digital Health Partnership (GDHP)","title":"Connected Health: Empowering Health Through Interoperability","title-short":"Global Digital Health Partnership","URL":"https://s3-ap-southeast-2.amazonaws.com/ehq-production-australia/57f9a51462d5e3f07569d55232fcc11290b99cd6/documents/attachments/000/102/278/original/GDHP_Interop_2.05.pdf","issued":{"date-parts":[["2019"]]}}},{"id":1096,"uris":["http://zotero.org/users/5664472/items/2QFT5TB3"],"itemData":{"id":1096,"type":"document","language":"English","publisher":"Principles for Digital Development Working Group","title":"Principle: Be Data Driven","title-short":"Principles for Digital Development Working Group","URL":"https://digitalprinciples.org/principle/be-data-driven/925/","accessed":{"date-parts":[["2019",7,8]]},"issued":{"date-parts":[["2016"]]}}}],"schema":"https://github.com/citation-style-language/schema/raw/master/csl-citation.json"} </w:instrText>
      </w:r>
      <w:r w:rsidRPr="00BA7700">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xml:space="preserve">, 2016b; </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BA7700">
        <w:rPr>
          <w:rFonts w:asciiTheme="majorBidi" w:hAnsiTheme="majorBidi" w:cstheme="majorBidi"/>
          <w:sz w:val="20"/>
          <w:szCs w:val="20"/>
        </w:rPr>
        <w:fldChar w:fldCharType="end"/>
      </w:r>
      <w:r w:rsidRPr="00BA7700">
        <w:rPr>
          <w:rFonts w:asciiTheme="majorBidi" w:hAnsiTheme="majorBidi" w:cstheme="majorBidi"/>
          <w:sz w:val="20"/>
          <w:szCs w:val="20"/>
        </w:rPr>
        <w:t xml:space="preserve">. </w:t>
      </w:r>
      <w:r w:rsidR="00A42355" w:rsidRPr="00BA7700">
        <w:rPr>
          <w:rFonts w:asciiTheme="majorBidi" w:hAnsiTheme="majorBidi" w:cstheme="majorBidi"/>
          <w:sz w:val="20"/>
          <w:szCs w:val="20"/>
        </w:rPr>
        <w:t>G</w:t>
      </w:r>
      <w:r w:rsidRPr="00BA7700">
        <w:rPr>
          <w:rFonts w:asciiTheme="majorBidi" w:hAnsiTheme="majorBidi" w:cstheme="majorBidi"/>
          <w:sz w:val="20"/>
          <w:szCs w:val="20"/>
        </w:rPr>
        <w:t>overning</w:t>
      </w:r>
      <w:r w:rsidR="00A42355" w:rsidRPr="00BA7700">
        <w:rPr>
          <w:rFonts w:asciiTheme="majorBidi" w:hAnsiTheme="majorBidi" w:cstheme="majorBidi"/>
          <w:sz w:val="20"/>
          <w:szCs w:val="20"/>
        </w:rPr>
        <w:t xml:space="preserve"> and regulatory</w:t>
      </w:r>
      <w:r w:rsidRPr="00BA7700">
        <w:rPr>
          <w:rFonts w:asciiTheme="majorBidi" w:hAnsiTheme="majorBidi" w:cstheme="majorBidi"/>
          <w:sz w:val="20"/>
          <w:szCs w:val="20"/>
        </w:rPr>
        <w:t xml:space="preserve"> entities such as WHO (World Health Organization), IMF (International Monetary Fund), USAID (United States Agency for International Development),</w:t>
      </w:r>
      <w:r w:rsidR="00A42355" w:rsidRPr="00BA7700">
        <w:rPr>
          <w:rFonts w:asciiTheme="majorBidi" w:hAnsiTheme="majorBidi" w:cstheme="majorBidi"/>
          <w:sz w:val="20"/>
          <w:szCs w:val="20"/>
        </w:rPr>
        <w:t xml:space="preserve"> and</w:t>
      </w:r>
      <w:r w:rsidRPr="00BA7700">
        <w:rPr>
          <w:rFonts w:asciiTheme="majorBidi" w:hAnsiTheme="majorBidi" w:cstheme="majorBidi"/>
          <w:sz w:val="20"/>
          <w:szCs w:val="20"/>
        </w:rPr>
        <w:t xml:space="preserve"> United Nations</w:t>
      </w:r>
      <w:r w:rsidR="00A42355" w:rsidRPr="00BA7700">
        <w:rPr>
          <w:rFonts w:asciiTheme="majorBidi" w:hAnsiTheme="majorBidi" w:cstheme="majorBidi"/>
          <w:sz w:val="20"/>
          <w:szCs w:val="20"/>
        </w:rPr>
        <w:t xml:space="preserve"> </w:t>
      </w:r>
      <w:r w:rsidRPr="00BA7700">
        <w:rPr>
          <w:rFonts w:asciiTheme="majorBidi" w:hAnsiTheme="majorBidi" w:cstheme="majorBidi"/>
          <w:sz w:val="20"/>
          <w:szCs w:val="20"/>
        </w:rPr>
        <w:t>ha</w:t>
      </w:r>
      <w:r w:rsidR="00BA7700">
        <w:rPr>
          <w:rFonts w:asciiTheme="majorBidi" w:hAnsiTheme="majorBidi" w:cstheme="majorBidi"/>
          <w:sz w:val="20"/>
          <w:szCs w:val="20"/>
        </w:rPr>
        <w:t>ve</w:t>
      </w:r>
      <w:r w:rsidRPr="00BA7700">
        <w:rPr>
          <w:rFonts w:asciiTheme="majorBidi" w:hAnsiTheme="majorBidi" w:cstheme="majorBidi"/>
          <w:sz w:val="20"/>
          <w:szCs w:val="20"/>
        </w:rPr>
        <w:t xml:space="preserve"> already introduced data quality</w:t>
      </w:r>
      <w:r w:rsidRPr="00A42355">
        <w:rPr>
          <w:rFonts w:asciiTheme="majorBidi" w:hAnsiTheme="majorBidi" w:cstheme="majorBidi"/>
          <w:sz w:val="20"/>
          <w:szCs w:val="20"/>
        </w:rPr>
        <w:t xml:space="preserve"> assessment framework</w:t>
      </w:r>
      <w:r w:rsidR="00A42355" w:rsidRPr="00A42355">
        <w:rPr>
          <w:rFonts w:asciiTheme="majorBidi" w:hAnsiTheme="majorBidi" w:cstheme="majorBidi"/>
          <w:sz w:val="20"/>
          <w:szCs w:val="20"/>
        </w:rPr>
        <w:t xml:space="preserve">s, </w:t>
      </w:r>
      <w:r w:rsidRPr="00A42355">
        <w:rPr>
          <w:rFonts w:asciiTheme="majorBidi" w:hAnsiTheme="majorBidi" w:cstheme="majorBidi"/>
          <w:sz w:val="20"/>
          <w:szCs w:val="20"/>
        </w:rPr>
        <w:t>strateg</w:t>
      </w:r>
      <w:r w:rsidR="00A42355" w:rsidRPr="00A42355">
        <w:rPr>
          <w:rFonts w:asciiTheme="majorBidi" w:hAnsiTheme="majorBidi" w:cstheme="majorBidi"/>
          <w:sz w:val="20"/>
          <w:szCs w:val="20"/>
        </w:rPr>
        <w:t>ies</w:t>
      </w:r>
      <w:r w:rsidRPr="00A42355">
        <w:rPr>
          <w:rFonts w:asciiTheme="majorBidi" w:hAnsiTheme="majorBidi" w:cstheme="majorBidi"/>
          <w:sz w:val="20"/>
          <w:szCs w:val="20"/>
        </w:rPr>
        <w:t xml:space="preserve">, and fundamental principles, which can be </w:t>
      </w:r>
      <w:r w:rsidR="00A42355">
        <w:rPr>
          <w:rFonts w:asciiTheme="majorBidi" w:hAnsiTheme="majorBidi" w:cstheme="majorBidi"/>
          <w:sz w:val="20"/>
          <w:szCs w:val="20"/>
        </w:rPr>
        <w:t>applied</w:t>
      </w:r>
      <w:r w:rsidRPr="00A42355">
        <w:rPr>
          <w:rFonts w:asciiTheme="majorBidi" w:hAnsiTheme="majorBidi" w:cstheme="majorBidi"/>
          <w:sz w:val="20"/>
          <w:szCs w:val="20"/>
        </w:rPr>
        <w:t xml:space="preserve"> as reference for such </w:t>
      </w:r>
      <w:r w:rsidR="00A42355">
        <w:rPr>
          <w:rFonts w:asciiTheme="majorBidi" w:hAnsiTheme="majorBidi" w:cstheme="majorBidi"/>
          <w:sz w:val="20"/>
          <w:szCs w:val="20"/>
        </w:rPr>
        <w:t>assessments</w:t>
      </w:r>
      <w:r w:rsidRPr="00A42355">
        <w:rPr>
          <w:rFonts w:asciiTheme="majorBidi" w:hAnsiTheme="majorBidi" w:cstheme="majorBidi"/>
          <w:sz w:val="20"/>
          <w:szCs w:val="20"/>
        </w:rPr>
        <w:t xml:space="preserve">. The </w:t>
      </w:r>
      <w:r w:rsidR="00A42355">
        <w:rPr>
          <w:rFonts w:asciiTheme="majorBidi" w:hAnsiTheme="majorBidi" w:cstheme="majorBidi"/>
          <w:sz w:val="20"/>
          <w:szCs w:val="20"/>
        </w:rPr>
        <w:t xml:space="preserve">PHC </w:t>
      </w:r>
      <w:r w:rsidRPr="00A42355">
        <w:rPr>
          <w:rFonts w:asciiTheme="majorBidi" w:hAnsiTheme="majorBidi" w:cstheme="majorBidi"/>
          <w:sz w:val="20"/>
          <w:szCs w:val="20"/>
        </w:rPr>
        <w:t xml:space="preserve">service should also </w:t>
      </w:r>
      <w:r w:rsidR="00A42355">
        <w:rPr>
          <w:rFonts w:asciiTheme="majorBidi" w:hAnsiTheme="majorBidi" w:cstheme="majorBidi"/>
          <w:sz w:val="20"/>
          <w:szCs w:val="20"/>
        </w:rPr>
        <w:t>include</w:t>
      </w:r>
      <w:r w:rsidRPr="00A42355">
        <w:rPr>
          <w:rFonts w:asciiTheme="majorBidi" w:hAnsiTheme="majorBidi" w:cstheme="majorBidi"/>
          <w:sz w:val="20"/>
          <w:szCs w:val="20"/>
        </w:rPr>
        <w:t xml:space="preserve"> </w:t>
      </w:r>
      <w:r w:rsidR="00A42355">
        <w:rPr>
          <w:rFonts w:asciiTheme="majorBidi" w:hAnsiTheme="majorBidi" w:cstheme="majorBidi"/>
          <w:sz w:val="20"/>
          <w:szCs w:val="20"/>
        </w:rPr>
        <w:t>a practical</w:t>
      </w:r>
      <w:r w:rsidRPr="00A42355">
        <w:rPr>
          <w:rFonts w:asciiTheme="majorBidi" w:hAnsiTheme="majorBidi" w:cstheme="majorBidi"/>
          <w:sz w:val="20"/>
          <w:szCs w:val="20"/>
        </w:rPr>
        <w:t xml:space="preserve"> impact evaluation matrix (</w:t>
      </w:r>
      <w:r w:rsidR="00A42355">
        <w:rPr>
          <w:rFonts w:asciiTheme="majorBidi" w:hAnsiTheme="majorBidi" w:cstheme="majorBidi"/>
          <w:sz w:val="20"/>
          <w:szCs w:val="20"/>
        </w:rPr>
        <w:t>acknowledging</w:t>
      </w:r>
      <w:r w:rsidRPr="00A42355">
        <w:rPr>
          <w:rFonts w:asciiTheme="majorBidi" w:hAnsiTheme="majorBidi" w:cstheme="majorBidi"/>
          <w:sz w:val="20"/>
          <w:szCs w:val="20"/>
        </w:rPr>
        <w:t xml:space="preserve"> factors such as expertise,</w:t>
      </w:r>
      <w:r w:rsidR="00A42355">
        <w:rPr>
          <w:rFonts w:asciiTheme="majorBidi" w:hAnsiTheme="majorBidi" w:cstheme="majorBidi"/>
          <w:sz w:val="20"/>
          <w:szCs w:val="20"/>
        </w:rPr>
        <w:t xml:space="preserve"> </w:t>
      </w:r>
      <w:r w:rsidR="00A42355" w:rsidRPr="00A42355">
        <w:rPr>
          <w:rFonts w:asciiTheme="majorBidi" w:hAnsiTheme="majorBidi" w:cstheme="majorBidi"/>
          <w:sz w:val="20"/>
          <w:szCs w:val="20"/>
        </w:rPr>
        <w:t xml:space="preserve">priorities, </w:t>
      </w:r>
      <w:r w:rsidRPr="00A42355">
        <w:rPr>
          <w:rFonts w:asciiTheme="majorBidi" w:hAnsiTheme="majorBidi" w:cstheme="majorBidi"/>
          <w:sz w:val="20"/>
          <w:szCs w:val="20"/>
        </w:rPr>
        <w:t xml:space="preserve">time, and </w:t>
      </w:r>
      <w:r w:rsidR="00A42355">
        <w:rPr>
          <w:rFonts w:asciiTheme="majorBidi" w:hAnsiTheme="majorBidi" w:cstheme="majorBidi"/>
          <w:sz w:val="20"/>
          <w:szCs w:val="20"/>
        </w:rPr>
        <w:t>cost</w:t>
      </w:r>
      <w:r w:rsidRPr="00A42355">
        <w:rPr>
          <w:rFonts w:asciiTheme="majorBidi" w:hAnsiTheme="majorBidi" w:cstheme="majorBidi"/>
          <w:sz w:val="20"/>
          <w:szCs w:val="20"/>
        </w:rPr>
        <w:t xml:space="preserve">) for </w:t>
      </w:r>
      <w:r w:rsidR="00A42355">
        <w:rPr>
          <w:rFonts w:asciiTheme="majorBidi" w:hAnsiTheme="majorBidi" w:cstheme="majorBidi"/>
          <w:sz w:val="20"/>
          <w:szCs w:val="20"/>
        </w:rPr>
        <w:t>service</w:t>
      </w:r>
      <w:r w:rsidRPr="00A42355">
        <w:rPr>
          <w:rFonts w:asciiTheme="majorBidi" w:hAnsiTheme="majorBidi" w:cstheme="majorBidi"/>
          <w:sz w:val="20"/>
          <w:szCs w:val="20"/>
        </w:rPr>
        <w:t xml:space="preserve"> scalability and </w:t>
      </w:r>
      <w:r w:rsidR="00A42355">
        <w:rPr>
          <w:rFonts w:asciiTheme="majorBidi" w:hAnsiTheme="majorBidi" w:cstheme="majorBidi"/>
          <w:sz w:val="20"/>
          <w:szCs w:val="20"/>
        </w:rPr>
        <w:t xml:space="preserve">associated </w:t>
      </w:r>
      <w:r w:rsidRPr="00A42355">
        <w:rPr>
          <w:rFonts w:asciiTheme="majorBidi" w:hAnsiTheme="majorBidi" w:cstheme="majorBidi"/>
          <w:sz w:val="20"/>
          <w:szCs w:val="20"/>
        </w:rPr>
        <w:t xml:space="preserve">risk </w:t>
      </w:r>
      <w:r w:rsidRPr="00A4235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{"citationID":"TtUlOGDO","properties":{"formattedCitation":"({\\i{}Principles for Digital Development Working Group}, 2016b; {\\i{}GDHP}, 2019)","plainCitation":"(Principles for Digital Development Working Group, 2016b; GDHP, 2019)","noteIndex":0},"citationItems":[{"id":1210,"uris":["http://zotero.org/users/5664472/items/FM3TMLKE"],"itemData":{"id":1210,"type":"report","language":"English (US)","publisher":"Global Digital Health Partnership (GDHP)","title":"Securing Digital Health","title-short":"GDHP","URL":"https://s3-ap-southeast-2.amazonaws.com/ehq-production-australia/50fe7b8a9f1be5ef493df8dcbcc3830d588514a5/documents/attachments/000/102/276/original/GDHP_Cyber_0102_Final2.1.pdf","accessed":{"date-parts":[["2019",10,22]]},"issued":{"date-parts":[["2019"]]}}},{"id":1096,"uris":["http://zotero.org/users/5664472/items/2QFT5TB3"],"itemData":{"id":1096,"type":"document","language":"English","publisher":"Principles for Digital Development Working Group","title":"Principle: Be Data Driven","title-short":"Principles for Digital Development Working Group","URL":"https://digitalprinciples.org/principle/be-data-driven/925/","accessed":{"date-parts":[["2019",7,8]]},"issued":{"date-parts":[["2016"]]}}}],"schema":"https://github.com/citation-style-language/schema/raw/master/csl-citation.json"} </w:instrText>
      </w:r>
      <w:r w:rsidRPr="00A42355">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xml:space="preserve">, 2016b; </w:t>
      </w:r>
      <w:r w:rsidR="00142517" w:rsidRPr="00142517">
        <w:rPr>
          <w:rFonts w:ascii="Times New Roman" w:hAnsi="Times New Roman" w:cs="Times New Roman"/>
          <w:i/>
          <w:iCs/>
          <w:sz w:val="20"/>
          <w:szCs w:val="24"/>
        </w:rPr>
        <w:t>GDHP</w:t>
      </w:r>
      <w:r w:rsidR="00142517" w:rsidRPr="00142517">
        <w:rPr>
          <w:rFonts w:ascii="Times New Roman" w:hAnsi="Times New Roman" w:cs="Times New Roman"/>
          <w:sz w:val="20"/>
          <w:szCs w:val="24"/>
        </w:rPr>
        <w:t>, 2019)</w:t>
      </w:r>
      <w:r w:rsidRPr="00A42355">
        <w:rPr>
          <w:rFonts w:asciiTheme="majorBidi" w:hAnsiTheme="majorBidi" w:cstheme="majorBidi"/>
          <w:sz w:val="20"/>
          <w:szCs w:val="20"/>
        </w:rPr>
        <w:fldChar w:fldCharType="end"/>
      </w:r>
      <w:r w:rsidRPr="00A42355">
        <w:rPr>
          <w:rFonts w:asciiTheme="majorBidi" w:hAnsiTheme="majorBidi" w:cstheme="majorBidi"/>
          <w:sz w:val="20"/>
          <w:szCs w:val="20"/>
        </w:rPr>
        <w:t xml:space="preserve">. It </w:t>
      </w:r>
      <w:r w:rsidR="00A42355">
        <w:rPr>
          <w:rFonts w:asciiTheme="majorBidi" w:hAnsiTheme="majorBidi" w:cstheme="majorBidi"/>
          <w:sz w:val="20"/>
          <w:szCs w:val="20"/>
        </w:rPr>
        <w:t xml:space="preserve">may bring effective </w:t>
      </w:r>
      <w:r w:rsidRPr="00A42355">
        <w:rPr>
          <w:rFonts w:asciiTheme="majorBidi" w:hAnsiTheme="majorBidi" w:cstheme="majorBidi"/>
          <w:sz w:val="20"/>
          <w:szCs w:val="20"/>
        </w:rPr>
        <w:t xml:space="preserve">assessment outcomes for </w:t>
      </w:r>
      <w:r w:rsidR="00A42355">
        <w:rPr>
          <w:rFonts w:asciiTheme="majorBidi" w:hAnsiTheme="majorBidi" w:cstheme="majorBidi"/>
          <w:sz w:val="20"/>
          <w:szCs w:val="20"/>
        </w:rPr>
        <w:t xml:space="preserve">the service </w:t>
      </w:r>
      <w:r w:rsidRPr="00A42355">
        <w:rPr>
          <w:rFonts w:asciiTheme="majorBidi" w:hAnsiTheme="majorBidi" w:cstheme="majorBidi"/>
          <w:sz w:val="20"/>
          <w:szCs w:val="20"/>
        </w:rPr>
        <w:t xml:space="preserve">scale </w:t>
      </w:r>
      <w:r w:rsidRPr="00A4235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{"citationID":"uNAdA6Mr","properties":{"formattedCitation":"({\\i{}Principles for Digital Development Working Group}, 2016c)","plainCitation":"(Principles for Digital Development Working Group, 2016c)","noteIndex":0},"citationItems":[{"id":1293,"uris":["http://zotero.org/users/5664472/items/N2K5RUC9"],"itemData":{"id":1293,"type":"document","language":"English","publisher":"Principles for Digital Development Working Group","title":"Principle: Build for Sustainability","title-short":"Principles for Digital Development Working Group","URL":"https://digitalprinciples.org/principle/build-for-sustainability/926/","accessed":{"date-parts":[["2019",8,14]]},"issued":{"date-parts":[["2016"]]}}}],"schema":"https://github.com/citation-style-language/schema/raw/master/csl-citation.json"} </w:instrText>
      </w:r>
      <w:r w:rsidRPr="00A42355">
        <w:rPr>
          <w:rFonts w:asciiTheme="majorBidi" w:hAnsiTheme="majorBidi" w:cstheme="majorBidi"/>
          <w:sz w:val="20"/>
          <w:szCs w:val="20"/>
        </w:rPr>
        <w:fldChar w:fldCharType="separate"/>
      </w:r>
      <w:r w:rsidR="00142517" w:rsidRPr="00142517">
        <w:rPr>
          <w:rFonts w:ascii="Times New Roman" w:hAnsi="Times New Roman" w:cs="Times New Roman"/>
          <w:sz w:val="20"/>
          <w:szCs w:val="24"/>
        </w:rPr>
        <w:t>(</w:t>
      </w:r>
      <w:r w:rsidR="00142517" w:rsidRPr="00142517">
        <w:rPr>
          <w:rFonts w:ascii="Times New Roman" w:hAnsi="Times New Roman" w:cs="Times New Roman"/>
          <w:i/>
          <w:iCs/>
          <w:sz w:val="20"/>
          <w:szCs w:val="24"/>
        </w:rPr>
        <w:t>Principles for Digital Development Working Group</w:t>
      </w:r>
      <w:r w:rsidR="00142517" w:rsidRPr="00142517">
        <w:rPr>
          <w:rFonts w:ascii="Times New Roman" w:hAnsi="Times New Roman" w:cs="Times New Roman"/>
          <w:sz w:val="20"/>
          <w:szCs w:val="24"/>
        </w:rPr>
        <w:t>, 2016c)</w:t>
      </w:r>
      <w:r w:rsidRPr="00A42355">
        <w:rPr>
          <w:rFonts w:asciiTheme="majorBidi" w:hAnsiTheme="majorBidi" w:cstheme="majorBidi"/>
          <w:sz w:val="20"/>
          <w:szCs w:val="20"/>
        </w:rPr>
        <w:fldChar w:fldCharType="end"/>
      </w:r>
      <w:r w:rsidRPr="00A42355">
        <w:rPr>
          <w:rFonts w:asciiTheme="majorBidi" w:hAnsiTheme="majorBidi" w:cstheme="majorBidi"/>
          <w:sz w:val="20"/>
          <w:szCs w:val="20"/>
        </w:rPr>
        <w:t xml:space="preserve">. </w:t>
      </w:r>
      <w:r w:rsidR="00A42355">
        <w:rPr>
          <w:rFonts w:asciiTheme="majorBidi" w:hAnsiTheme="majorBidi" w:cstheme="majorBidi"/>
          <w:sz w:val="20"/>
          <w:szCs w:val="20"/>
        </w:rPr>
        <w:t xml:space="preserve">Lastly, PHC </w:t>
      </w:r>
      <w:r w:rsidRPr="00A42355">
        <w:rPr>
          <w:rFonts w:asciiTheme="majorBidi" w:hAnsiTheme="majorBidi" w:cstheme="majorBidi"/>
          <w:sz w:val="20"/>
          <w:szCs w:val="20"/>
        </w:rPr>
        <w:t xml:space="preserve">service should also consider </w:t>
      </w:r>
      <w:r w:rsidR="00BA7700">
        <w:rPr>
          <w:rFonts w:asciiTheme="majorBidi" w:hAnsiTheme="majorBidi" w:cstheme="majorBidi"/>
          <w:sz w:val="20"/>
          <w:szCs w:val="20"/>
        </w:rPr>
        <w:t xml:space="preserve">a </w:t>
      </w:r>
      <w:r w:rsidR="00A42355">
        <w:rPr>
          <w:rFonts w:asciiTheme="majorBidi" w:hAnsiTheme="majorBidi" w:cstheme="majorBidi"/>
          <w:sz w:val="20"/>
          <w:szCs w:val="20"/>
        </w:rPr>
        <w:t xml:space="preserve">collaborative </w:t>
      </w:r>
      <w:r w:rsidRPr="00A42355">
        <w:rPr>
          <w:rFonts w:asciiTheme="majorBidi" w:hAnsiTheme="majorBidi" w:cstheme="majorBidi"/>
          <w:sz w:val="20"/>
          <w:szCs w:val="20"/>
        </w:rPr>
        <w:t xml:space="preserve">iteration </w:t>
      </w:r>
      <w:r w:rsidR="00A42355">
        <w:rPr>
          <w:rFonts w:asciiTheme="majorBidi" w:hAnsiTheme="majorBidi" w:cstheme="majorBidi"/>
          <w:sz w:val="20"/>
          <w:szCs w:val="20"/>
        </w:rPr>
        <w:t xml:space="preserve">approach for the service </w:t>
      </w:r>
      <w:r w:rsidRPr="00A42355">
        <w:rPr>
          <w:rFonts w:asciiTheme="majorBidi" w:hAnsiTheme="majorBidi" w:cstheme="majorBidi"/>
          <w:sz w:val="20"/>
          <w:szCs w:val="20"/>
        </w:rPr>
        <w:t>design</w:t>
      </w:r>
      <w:r w:rsidR="00A42355">
        <w:rPr>
          <w:rFonts w:asciiTheme="majorBidi" w:hAnsiTheme="majorBidi" w:cstheme="majorBidi"/>
          <w:sz w:val="20"/>
          <w:szCs w:val="20"/>
        </w:rPr>
        <w:t>,</w:t>
      </w:r>
      <w:r w:rsidRPr="00A42355">
        <w:rPr>
          <w:rFonts w:asciiTheme="majorBidi" w:hAnsiTheme="majorBidi" w:cstheme="majorBidi"/>
          <w:sz w:val="20"/>
          <w:szCs w:val="20"/>
        </w:rPr>
        <w:t xml:space="preserve"> development</w:t>
      </w:r>
      <w:r w:rsidR="00A42355">
        <w:rPr>
          <w:rFonts w:asciiTheme="majorBidi" w:hAnsiTheme="majorBidi" w:cstheme="majorBidi"/>
          <w:sz w:val="20"/>
          <w:szCs w:val="20"/>
        </w:rPr>
        <w:t>, and improvement</w:t>
      </w:r>
      <w:r w:rsidRPr="00A42355">
        <w:rPr>
          <w:rFonts w:asciiTheme="majorBidi" w:hAnsiTheme="majorBidi" w:cstheme="majorBidi"/>
          <w:sz w:val="20"/>
          <w:szCs w:val="20"/>
        </w:rPr>
        <w:t xml:space="preserve"> to </w:t>
      </w:r>
      <w:r w:rsidR="00A42355">
        <w:rPr>
          <w:rFonts w:asciiTheme="majorBidi" w:hAnsiTheme="majorBidi" w:cstheme="majorBidi"/>
          <w:sz w:val="20"/>
          <w:szCs w:val="20"/>
        </w:rPr>
        <w:t xml:space="preserve">achieve the </w:t>
      </w:r>
      <w:r w:rsidRPr="00A42355">
        <w:rPr>
          <w:rFonts w:asciiTheme="majorBidi" w:hAnsiTheme="majorBidi" w:cstheme="majorBidi"/>
          <w:sz w:val="20"/>
          <w:szCs w:val="20"/>
        </w:rPr>
        <w:t>highest</w:t>
      </w:r>
      <w:r w:rsidR="00A42355">
        <w:rPr>
          <w:rFonts w:asciiTheme="majorBidi" w:hAnsiTheme="majorBidi" w:cstheme="majorBidi"/>
          <w:sz w:val="20"/>
          <w:szCs w:val="20"/>
        </w:rPr>
        <w:t xml:space="preserve"> possible service </w:t>
      </w:r>
      <w:r w:rsidRPr="00A42355">
        <w:rPr>
          <w:rFonts w:asciiTheme="majorBidi" w:hAnsiTheme="majorBidi" w:cstheme="majorBidi"/>
          <w:sz w:val="20"/>
          <w:szCs w:val="20"/>
        </w:rPr>
        <w:t>scale.</w:t>
      </w:r>
    </w:p>
    <w:p w14:paraId="6D0BB3B0" w14:textId="69E1D698" w:rsidR="00461EE3" w:rsidRDefault="00E26595" w:rsidP="00E26595">
      <w:pPr>
        <w:pStyle w:val="Heading1"/>
        <w:spacing w:before="0" w:beforeAutospacing="0" w:after="0" w:afterAutospacing="0"/>
        <w:jc w:val="center"/>
        <w:rPr>
          <w:rFonts w:asciiTheme="majorBidi" w:hAnsiTheme="majorBidi" w:cstheme="majorBidi"/>
          <w:sz w:val="20"/>
          <w:szCs w:val="20"/>
        </w:rPr>
      </w:pPr>
      <w:r>
        <w:rPr>
          <w:rFonts w:asciiTheme="majorBidi" w:hAnsiTheme="majorBidi" w:cstheme="majorBidi"/>
          <w:sz w:val="20"/>
          <w:szCs w:val="20"/>
        </w:rPr>
        <w:t>FIELD RESEARCH METHOD</w:t>
      </w:r>
    </w:p>
    <w:p w14:paraId="61D437A0" w14:textId="449038EE" w:rsidR="00E26595" w:rsidRDefault="00752787" w:rsidP="00142517">
      <w:pPr>
        <w:spacing w:after="0" w:line="240" w:lineRule="auto"/>
        <w:jc w:val="both"/>
        <w:rPr>
          <w:rFonts w:asciiTheme="majorBidi" w:hAnsiTheme="majorBidi" w:cstheme="majorBidi"/>
          <w:sz w:val="20"/>
          <w:szCs w:val="20"/>
        </w:rPr>
      </w:pPr>
      <w:r>
        <w:rPr>
          <w:rFonts w:asciiTheme="majorBidi" w:hAnsiTheme="majorBidi" w:cstheme="majorBidi"/>
          <w:sz w:val="20"/>
          <w:szCs w:val="20"/>
        </w:rPr>
        <w:t xml:space="preserve">This research adopts </w:t>
      </w:r>
      <w:r w:rsidRPr="00E26595">
        <w:rPr>
          <w:rFonts w:asciiTheme="majorBidi" w:hAnsiTheme="majorBidi" w:cstheme="majorBidi"/>
          <w:sz w:val="20"/>
          <w:szCs w:val="20"/>
        </w:rPr>
        <w:t>Soft System Methodology (SSM)</w:t>
      </w:r>
      <w:r>
        <w:rPr>
          <w:rFonts w:asciiTheme="majorBidi" w:hAnsiTheme="majorBidi" w:cstheme="majorBidi"/>
          <w:sz w:val="20"/>
          <w:szCs w:val="20"/>
        </w:rPr>
        <w:t xml:space="preserve">, a wholly consistent variant of </w:t>
      </w:r>
      <w:r w:rsidRPr="00605BC7">
        <w:rPr>
          <w:rFonts w:asciiTheme="majorBidi" w:hAnsiTheme="majorBidi" w:cstheme="majorBidi"/>
          <w:sz w:val="20"/>
          <w:szCs w:val="20"/>
        </w:rPr>
        <w:t xml:space="preserve">Design Science Research (DSR) </w:t>
      </w:r>
      <w:r w:rsidRPr="00605BC7">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{"citationID":"a1185c08485","properties":{"formattedCitation":"(Baskerville et al., 2009; Peffers et al., 2007)","plainCitation":"(Baskerville et al., 2009; Peffers et al., 2007)","noteIndex":0},"citationItems":[{"id":410,"uris":["http://zotero.org/users/5664472/items/D4ADF7PQ"],"itemData":{"id":410,"type":"paper-conference","abstract":"This paper proposes and evaluates a soft systems approach to design science research. Soft Design Science provides an approach to the development of new ways to improve human organizations, especially with consideration for social aspects, through the activities of design, development, instantiation, evaluation and evolution of a technological artifact. The Soft Design Science approach merges the common design science research process (design, build-artifact, evaluation) together with the iterative soft systems methodology. The design-build artifactevaluation process is iterated until the specific requirements are met. The generalized requirements are adjusted as the process continues to keep alignment with the specific requirements. In the end, the artifact represents a general solution to a class of problems shown to operate in one instance of that class of problems. The proposed methodology is evaluated by an analysis of how it differs from, and could have informed and improved, a published design science study, which used a design-oriented action research method.","language":"en","page":"11","source":"Zotero","title":"Soft Design Science Methodology","author":[{"family":"Baskerville","given":"Richard"},{"family":"Pries-Heje","given":"Jan"},{"family":"Venable","given":"John"}],"issued":{"date-parts":[["2009",5,7]]}}},{"id":1050,"uris":["http://zotero.org/users/5664472/items/664XJ8GN"],"itemData":{"id":1050,"type":"article-journal","abstract":"The paper motivates, presents, demonstrates in use, and evaluates a methodology for conducting design science (DS) research in information systems. DS is of importance in a discipline oriented to the creation of successful artifacts. Several IS researchers have pioneered DS research in IS, yet over the last 15 years little DS research has been done within the discipline. The lack of a methodology to serve as a commonly accepted framework for DS research and of a template for its presentation may have contributed to its slow adoption. The design science research methodology (DSRM) presented here incorporates principles, practices, and procedures required to carry out such research and meets three objectives: it is consistent with prior literature, it provides a nominal process model for doing DS research, and it provides a mental model for presenting and evaluating DS research in IS. The DS process includes six steps: problem identification and motivation, definition of the objectives for a solution, design and development, demonstration, evaluation, and communication. We demonstrate and evaluate the methodology by presenting four case studies in terms of the DSRM, including cases that present the design of a database to support health assessment methods, a software reuse measure, an Internet video telephony application, and an IS planning method. The designed methodology effectively satisfies the three objectives and has the potential to help aid the acceptance of DS research in the IS discipline.","container-title":"Management Information Systems","DOI":"10.2753/MIS0742-1222240302","ISSN":"0742-1222, 1557-928X","issue":"3","journalAbbreviation":"Journal of Management Information Systems","language":"en","page":"45-77","source":"DOI.org (Crossref)","title":"A Design Science Research Methodology for Information Systems Research","volume":"24","author":[{"family":"Peffers","given":"Ken"},{"family":"Tuunanen","given":"Tuure"},{"family":"Rothenberger","given":"Marcus A."},{"family":"Chatterjee","given":"Samir"}],"issued":{"date-parts":[["2007",12]]}}}],"schema":"https://github.com/citation-style-language/schema/raw/master/csl-citation.json"} </w:instrText>
      </w:r>
      <w:r w:rsidRPr="00605BC7">
        <w:rPr>
          <w:rFonts w:asciiTheme="majorBidi" w:hAnsiTheme="majorBidi" w:cstheme="majorBidi"/>
          <w:sz w:val="20"/>
          <w:szCs w:val="20"/>
        </w:rPr>
        <w:fldChar w:fldCharType="separate"/>
      </w:r>
      <w:r w:rsidR="00142517" w:rsidRPr="00142517">
        <w:rPr>
          <w:rFonts w:ascii="Times New Roman" w:hAnsi="Times New Roman" w:cs="Times New Roman"/>
          <w:sz w:val="20"/>
        </w:rPr>
        <w:t>(Baskerville et al., 2009; Peffers et al., 2007)</w:t>
      </w:r>
      <w:r w:rsidRPr="00605BC7">
        <w:rPr>
          <w:rFonts w:asciiTheme="majorBidi" w:hAnsiTheme="majorBidi" w:cstheme="majorBidi"/>
          <w:sz w:val="20"/>
          <w:szCs w:val="20"/>
        </w:rPr>
        <w:fldChar w:fldCharType="end"/>
      </w:r>
      <w:r>
        <w:rPr>
          <w:rFonts w:asciiTheme="majorBidi" w:hAnsiTheme="majorBidi" w:cstheme="majorBidi"/>
          <w:sz w:val="20"/>
          <w:szCs w:val="20"/>
        </w:rPr>
        <w:t xml:space="preserve">. </w:t>
      </w:r>
      <w:r w:rsidR="00E26595" w:rsidRPr="00E26595">
        <w:rPr>
          <w:rFonts w:asciiTheme="majorBidi" w:hAnsiTheme="majorBidi" w:cstheme="majorBidi"/>
          <w:sz w:val="20"/>
          <w:szCs w:val="20"/>
        </w:rPr>
        <w:t xml:space="preserve">SSM applies systems thinking to tackle messy, problematic situations </w:t>
      </w:r>
      <w:r w:rsidR="00E26595" w:rsidRPr="00E2659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{"citationID":"1LfFmZB0","properties":{"formattedCitation":"(Checkland &amp; Poulter, 2010)","plainCitation":"(Checkland &amp; Poulter, 2010)","noteIndex":0},"citationItems":[{"id":426,"uris":["http://zotero.org/users/5664472/items/8PI73MTX"],"itemData":{"id":426,"type":"chapter","abstract":"Soft systems methodology (SSM) is an approach for tackling problematical, messy situations of all kinds. It is an action-oriented process of inquiry into problematic situations in which users learn their way from finding out about the situation, to taking action to improve it. The learning emerges via an organised process in which the situation is explored using a set of models of purposeful action (each built to encapsulate a single worldview) as intellectual devices, or tools, to inform and structure discussion about a situation and how it might be improved. This paper, written by the original developer Peter Checkland and practitioner John Poulter, gives a clear and concise account of the approach that covers SSM’s specific techniques, the learning cycle process of the methodology and the craft skills which practitioners develop. This concise but theoretically robust account nevertheless includes the fundamental concepts, techniques, core tenets described through a wide range of settings.","container-title":"Systems Approaches to Managing Change: A Practical Guide","event-place":"London","ISBN":"978-1-84882-808-7","language":"en","note":"DOI: 10.1007/978-1-84882-809-4_5","page":"191-242","publisher":"Springer London","publisher-place":"London","source":"DOI.org (Crossref)","title":"Soft Systems Methodology","URL":"http://link.springer.com/10.1007/978-1-84882-809-4_5","editor":[{"family":"Reynolds","given":"Martin"},{"family":"Holwell","given":"Sue"}],"author":[{"family":"Checkland","given":"Peter"},{"family":"Poulter","given":"John"}],"accessed":{"date-parts":[["2019",9,22]]},"issued":{"date-parts":[["2010"]]}}}],"schema":"https://github.com/citation-style-language/schema/raw/master/csl-citation.json"} </w:instrText>
      </w:r>
      <w:r w:rsidR="00E26595" w:rsidRPr="00E26595">
        <w:rPr>
          <w:rFonts w:asciiTheme="majorBidi" w:hAnsiTheme="majorBidi" w:cstheme="majorBidi"/>
          <w:sz w:val="20"/>
          <w:szCs w:val="20"/>
        </w:rPr>
        <w:fldChar w:fldCharType="separate"/>
      </w:r>
      <w:r w:rsidR="00142517" w:rsidRPr="00142517">
        <w:rPr>
          <w:rFonts w:ascii="Times New Roman" w:hAnsi="Times New Roman" w:cs="Times New Roman"/>
          <w:sz w:val="20"/>
        </w:rPr>
        <w:t>(Checkland &amp; Poulter, 2010)</w:t>
      </w:r>
      <w:r w:rsidR="00E26595" w:rsidRPr="00E26595">
        <w:rPr>
          <w:rFonts w:asciiTheme="majorBidi" w:hAnsiTheme="majorBidi" w:cstheme="majorBidi"/>
          <w:sz w:val="20"/>
          <w:szCs w:val="20"/>
        </w:rPr>
        <w:fldChar w:fldCharType="end"/>
      </w:r>
      <w:r w:rsidR="00E26595" w:rsidRPr="00E26595">
        <w:rPr>
          <w:rFonts w:asciiTheme="majorBidi" w:hAnsiTheme="majorBidi" w:cstheme="majorBidi"/>
          <w:sz w:val="20"/>
          <w:szCs w:val="20"/>
        </w:rPr>
        <w:t xml:space="preserve">. SSM includes action-oriented processes for investigating "problematic situations". The researcher acquires knowledge of the situation through exploration and determines the needed action to improve the situation. In SSM, the learning of a researcher commences with a set of organised processes where exploration of a situation is determined through a set of </w:t>
      </w:r>
      <w:r w:rsidR="00E26595" w:rsidRPr="00E26595">
        <w:rPr>
          <w:rFonts w:asciiTheme="majorBidi" w:hAnsiTheme="majorBidi" w:cstheme="majorBidi"/>
          <w:sz w:val="20"/>
          <w:szCs w:val="20"/>
        </w:rPr>
        <w:lastRenderedPageBreak/>
        <w:t xml:space="preserve">models representing purposeful action, each developed to describe a single worldview. These </w:t>
      </w:r>
      <w:r>
        <w:rPr>
          <w:rFonts w:asciiTheme="majorBidi" w:hAnsiTheme="majorBidi" w:cstheme="majorBidi"/>
          <w:sz w:val="20"/>
          <w:szCs w:val="20"/>
        </w:rPr>
        <w:t>intellectual tools or devices</w:t>
      </w:r>
      <w:r w:rsidR="00E26595" w:rsidRPr="00E26595">
        <w:rPr>
          <w:rFonts w:asciiTheme="majorBidi" w:hAnsiTheme="majorBidi" w:cstheme="majorBidi"/>
          <w:sz w:val="20"/>
          <w:szCs w:val="20"/>
        </w:rPr>
        <w:t xml:space="preserve"> structure discussion and inform the researcher about the situation and how to improve it </w:t>
      </w:r>
      <w:r w:rsidR="00E26595" w:rsidRPr="00E2659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{"citationID":"WSVoiWM5","properties":{"formattedCitation":"(Checkland &amp; Poulter, 2010)","plainCitation":"(Checkland &amp; Poulter, 2010)","noteIndex":0},"citationItems":[{"id":426,"uris":["http://zotero.org/users/5664472/items/8PI73MTX"],"itemData":{"id":426,"type":"chapter","abstract":"Soft systems methodology (SSM) is an approach for tackling problematical, messy situations of all kinds. It is an action-oriented process of inquiry into problematic situations in which users learn their way from finding out about the situation, to taking action to improve it. The learning emerges via an organised process in which the situation is explored using a set of models of purposeful action (each built to encapsulate a single worldview) as intellectual devices, or tools, to inform and structure discussion about a situation and how it might be improved. This paper, written by the original developer Peter Checkland and practitioner John Poulter, gives a clear and concise account of the approach that covers SSM’s specific techniques, the learning cycle process of the methodology and the craft skills which practitioners develop. This concise but theoretically robust account nevertheless includes the fundamental concepts, techniques, core tenets described through a wide range of settings.","container-title":"Systems Approaches to Managing Change: A Practical Guide","event-place":"London","ISBN":"978-1-84882-808-7","language":"en","note":"DOI: 10.1007/978-1-84882-809-4_5","page":"191-242","publisher":"Springer London","publisher-place":"London","source":"DOI.org (Crossref)","title":"Soft Systems Methodology","URL":"http://link.springer.com/10.1007/978-1-84882-809-4_5","editor":[{"family":"Reynolds","given":"Martin"},{"family":"Holwell","given":"Sue"}],"author":[{"family":"Checkland","given":"Peter"},{"family":"Poulter","given":"John"}],"accessed":{"date-parts":[["2019",9,22]]},"issued":{"date-parts":[["2010"]]}}}],"schema":"https://github.com/citation-style-language/schema/raw/master/csl-citation.json"} </w:instrText>
      </w:r>
      <w:r w:rsidR="00E26595" w:rsidRPr="00E26595">
        <w:rPr>
          <w:rFonts w:asciiTheme="majorBidi" w:hAnsiTheme="majorBidi" w:cstheme="majorBidi"/>
          <w:sz w:val="20"/>
          <w:szCs w:val="20"/>
        </w:rPr>
        <w:fldChar w:fldCharType="separate"/>
      </w:r>
      <w:r w:rsidR="00142517" w:rsidRPr="00142517">
        <w:rPr>
          <w:rFonts w:ascii="Times New Roman" w:hAnsi="Times New Roman" w:cs="Times New Roman"/>
          <w:sz w:val="20"/>
        </w:rPr>
        <w:t>(Checkland &amp; Poulter, 2010)</w:t>
      </w:r>
      <w:r w:rsidR="00E26595" w:rsidRPr="00E26595">
        <w:rPr>
          <w:rFonts w:asciiTheme="majorBidi" w:hAnsiTheme="majorBidi" w:cstheme="majorBidi"/>
          <w:sz w:val="20"/>
          <w:szCs w:val="20"/>
        </w:rPr>
        <w:fldChar w:fldCharType="end"/>
      </w:r>
      <w:r w:rsidR="00E26595" w:rsidRPr="00E26595">
        <w:rPr>
          <w:rFonts w:asciiTheme="majorBidi" w:hAnsiTheme="majorBidi" w:cstheme="majorBidi"/>
          <w:sz w:val="20"/>
          <w:szCs w:val="20"/>
        </w:rPr>
        <w:t>.</w:t>
      </w:r>
      <w:r w:rsidR="00E26595">
        <w:rPr>
          <w:rFonts w:asciiTheme="majorBidi" w:hAnsiTheme="majorBidi" w:cstheme="majorBidi"/>
          <w:sz w:val="20"/>
          <w:szCs w:val="20"/>
        </w:rPr>
        <w:t xml:space="preserve"> </w:t>
      </w:r>
      <w:r w:rsidR="00E26595" w:rsidRPr="00E26595">
        <w:rPr>
          <w:rFonts w:asciiTheme="majorBidi" w:hAnsiTheme="majorBidi" w:cstheme="majorBidi"/>
          <w:sz w:val="20"/>
          <w:szCs w:val="20"/>
        </w:rPr>
        <w:t>Figure 2 depicts the classic 7</w:t>
      </w:r>
      <w:r>
        <w:rPr>
          <w:rFonts w:asciiTheme="majorBidi" w:hAnsiTheme="majorBidi" w:cstheme="majorBidi"/>
          <w:sz w:val="20"/>
          <w:szCs w:val="20"/>
        </w:rPr>
        <w:t>-</w:t>
      </w:r>
      <w:r w:rsidR="00E26595" w:rsidRPr="00E26595">
        <w:rPr>
          <w:rFonts w:asciiTheme="majorBidi" w:hAnsiTheme="majorBidi" w:cstheme="majorBidi"/>
          <w:sz w:val="20"/>
          <w:szCs w:val="20"/>
        </w:rPr>
        <w:t xml:space="preserve">step SSM model </w:t>
      </w:r>
      <w:r w:rsidR="00E26595" w:rsidRPr="00E26595">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{"citationID":"Iw2wB6Nl","properties":{"formattedCitation":"(Checkland &amp; Scholes, 1999a)","plainCitation":"(Checkland &amp; Scholes, 1999a)","dontUpdate":true,"noteIndex":0},"citationItems":[{"id":409,"uris":["http://zotero.org/users/5664472/items/E4VHFD8Q"],"itemData":{"id":409,"type":"book","abstract":"Soft Systems Methodology in Action \"Whether by design, accident or merely synchronicity, Checkland appears to have developed a habit of writing seminal publications near the start of each decade which establish the basis and framework for systems methodology research for that decade.\" Hamish Rennie, Journal of the Operational Research Society, 1992 Thirty years ago Peter Checkland set out to test whether the Systems Engineering (SE) approach, highly successful in technical problems, could be used by managers coping with the unfolding complexities of organizational life. The straightforward transfer of SE to the broader situations of management was not possible, but by insisting on a combination of systems thinking strongly linked to real-world practice Checkland and his collaborators developed an alternative approach - Soft Systems Methodology (SSM) - which enables managers of all kinds and at any level to deal with the subtleties and confusions of the situations they face. This work established the now accepted distinction between 'hard' systems thinking, in which parts of the world are taken to be 'systems' which can be 'engineered', and 'soft' systems thinking in which the focus is on making sure the process of inquiry into real-world complexity is itself a system for learning. Systems Thinking, Systems Practice (1981) and Soft Systems Methodology in Action (1990) together with an earlier paper Towards a Systems-based Methodology for Real-World Problem Solving (1972) have long been recognized as classics in the field. Now-Peter Checkland has looked back over the three decades of SSM development, brought the account of it up to date, and reflected on the whole evolutionary process which has produced a mature SSM. SSM: A 30-Year Retrospective, here included with Soft Systems Methodology in Action closes a chapter on what is undoubtedly the most significant single research programme on the use of systems ideas in problem solving. Now retired from full-time university work, Peter Checkland continues his research as a Leverhulme Emeritus Fellow.","event-place":"Chichester, Eng. ; New York","ISBN":"978-0-471-98605-8","language":"English","number-of-pages":"418","publisher":"Wiley","publisher-place":"Chichester, Eng. ; New York","source":"Wiley","title":"Soft Systems Methodology in Action","author":[{"family":"Checkland","given":"Peter"},{"family":"Scholes","given":"Jim"}],"issued":{"date-parts":[["1999",9,16]]}}}],"schema":"https://github.com/citation-style-language/schema/raw/master/csl-citation.json"} </w:instrText>
      </w:r>
      <w:r w:rsidR="00E26595" w:rsidRPr="00E26595">
        <w:rPr>
          <w:rFonts w:asciiTheme="majorBidi" w:hAnsiTheme="majorBidi" w:cstheme="majorBidi"/>
          <w:sz w:val="20"/>
          <w:szCs w:val="20"/>
        </w:rPr>
        <w:fldChar w:fldCharType="separate"/>
      </w:r>
      <w:r w:rsidR="00E26595" w:rsidRPr="00E26595">
        <w:rPr>
          <w:rFonts w:asciiTheme="majorBidi" w:hAnsiTheme="majorBidi" w:cstheme="majorBidi"/>
          <w:sz w:val="20"/>
          <w:szCs w:val="20"/>
        </w:rPr>
        <w:t>(Checkland &amp; Scholes, 1999a)</w:t>
      </w:r>
      <w:r w:rsidR="00E26595" w:rsidRPr="00E26595">
        <w:rPr>
          <w:rFonts w:asciiTheme="majorBidi" w:hAnsiTheme="majorBidi" w:cstheme="majorBidi"/>
          <w:sz w:val="20"/>
          <w:szCs w:val="20"/>
        </w:rPr>
        <w:fldChar w:fldCharType="end"/>
      </w:r>
      <w:r w:rsidR="00E26595" w:rsidRPr="00E26595">
        <w:rPr>
          <w:rFonts w:asciiTheme="majorBidi" w:hAnsiTheme="majorBidi" w:cstheme="majorBidi"/>
          <w:sz w:val="20"/>
          <w:szCs w:val="20"/>
        </w:rPr>
        <w:t xml:space="preserve">, including information </w:t>
      </w:r>
      <w:r>
        <w:rPr>
          <w:rFonts w:asciiTheme="majorBidi" w:hAnsiTheme="majorBidi" w:cstheme="majorBidi"/>
          <w:sz w:val="20"/>
          <w:szCs w:val="20"/>
        </w:rPr>
        <w:t>on this</w:t>
      </w:r>
      <w:r w:rsidR="00E26595" w:rsidRPr="00E26595">
        <w:rPr>
          <w:rFonts w:asciiTheme="majorBidi" w:hAnsiTheme="majorBidi" w:cstheme="majorBidi"/>
          <w:sz w:val="20"/>
          <w:szCs w:val="20"/>
        </w:rPr>
        <w:t xml:space="preserve"> research.</w:t>
      </w:r>
    </w:p>
    <w:p w14:paraId="52694A8C" w14:textId="449484FE" w:rsidR="00E26595" w:rsidRDefault="00E26595" w:rsidP="009D496A">
      <w:pPr>
        <w:spacing w:after="0" w:line="240" w:lineRule="auto"/>
        <w:jc w:val="center"/>
        <w:rPr>
          <w:rFonts w:asciiTheme="majorBidi" w:hAnsiTheme="majorBidi" w:cstheme="majorBidi"/>
          <w:sz w:val="20"/>
          <w:szCs w:val="20"/>
        </w:rPr>
      </w:pPr>
      <w:r>
        <w:rPr>
          <w:noProof/>
        </w:rPr>
        <w:drawing>
          <wp:inline distT="0" distB="0" distL="0" distR="0" wp14:anchorId="7E2EC9EE" wp14:editId="2C9D6249">
            <wp:extent cx="6166757" cy="3308333"/>
            <wp:effectExtent l="0" t="0" r="5715"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81612" cy="3530894"/>
                    </a:xfrm>
                    <a:prstGeom prst="rect">
                      <a:avLst/>
                    </a:prstGeom>
                    <a:noFill/>
                    <a:ln>
                      <a:noFill/>
                    </a:ln>
                  </pic:spPr>
                </pic:pic>
              </a:graphicData>
            </a:graphic>
          </wp:inline>
        </w:drawing>
      </w:r>
    </w:p>
    <w:p w14:paraId="461AF444" w14:textId="23D901BD" w:rsidR="00BA7700" w:rsidRPr="00BA7700" w:rsidRDefault="00BA7700" w:rsidP="00BA7700">
      <w:pPr>
        <w:spacing w:line="240" w:lineRule="auto"/>
        <w:jc w:val="center"/>
        <w:rPr>
          <w:rFonts w:asciiTheme="majorBidi" w:hAnsiTheme="majorBidi" w:cstheme="majorBidi"/>
          <w:sz w:val="20"/>
          <w:szCs w:val="20"/>
        </w:rPr>
      </w:pPr>
      <w:r w:rsidRPr="00BA7700">
        <w:rPr>
          <w:rFonts w:asciiTheme="majorBidi" w:hAnsiTheme="majorBidi" w:cstheme="majorBidi"/>
          <w:sz w:val="20"/>
          <w:szCs w:val="20"/>
        </w:rPr>
        <w:t xml:space="preserve">Figure 2: The Adopted Soft System Methodology Approach for the </w:t>
      </w:r>
      <w:r>
        <w:rPr>
          <w:rFonts w:asciiTheme="majorBidi" w:hAnsiTheme="majorBidi" w:cstheme="majorBidi"/>
          <w:sz w:val="20"/>
          <w:szCs w:val="20"/>
        </w:rPr>
        <w:t>S</w:t>
      </w:r>
      <w:r w:rsidRPr="00BA7700">
        <w:rPr>
          <w:rFonts w:asciiTheme="majorBidi" w:hAnsiTheme="majorBidi" w:cstheme="majorBidi"/>
          <w:sz w:val="20"/>
          <w:szCs w:val="20"/>
        </w:rPr>
        <w:t>tudy.</w:t>
      </w:r>
    </w:p>
    <w:p w14:paraId="05D69B18" w14:textId="67FC6E19" w:rsidR="009D496A" w:rsidRPr="009D496A" w:rsidRDefault="00BA7700" w:rsidP="00BA7700">
      <w:pPr>
        <w:pStyle w:val="Footer"/>
        <w:jc w:val="both"/>
        <w:rPr>
          <w:rFonts w:asciiTheme="majorBidi" w:hAnsiTheme="majorBidi" w:cstheme="majorBidi"/>
          <w:b/>
          <w:i/>
          <w:sz w:val="20"/>
          <w:szCs w:val="20"/>
        </w:rPr>
      </w:pPr>
      <w:r>
        <w:rPr>
          <w:rFonts w:asciiTheme="majorBidi" w:hAnsiTheme="majorBidi" w:cstheme="majorBidi"/>
          <w:b/>
          <w:i/>
          <w:sz w:val="20"/>
          <w:szCs w:val="20"/>
        </w:rPr>
        <w:t xml:space="preserve">Step 1: </w:t>
      </w:r>
      <w:r w:rsidR="009D496A" w:rsidRPr="009D496A">
        <w:rPr>
          <w:rFonts w:asciiTheme="majorBidi" w:hAnsiTheme="majorBidi" w:cstheme="majorBidi"/>
          <w:b/>
          <w:i/>
          <w:sz w:val="20"/>
          <w:szCs w:val="20"/>
        </w:rPr>
        <w:t>Understanding the Unstructured Problematic Situation</w:t>
      </w:r>
    </w:p>
    <w:p w14:paraId="5851A86A" w14:textId="7D84E800" w:rsidR="009D496A" w:rsidRDefault="009D496A" w:rsidP="00142517">
      <w:pPr>
        <w:spacing w:line="240" w:lineRule="auto"/>
        <w:jc w:val="both"/>
        <w:rPr>
          <w:rFonts w:asciiTheme="majorBidi" w:hAnsiTheme="majorBidi" w:cstheme="majorBidi"/>
          <w:sz w:val="20"/>
          <w:szCs w:val="20"/>
        </w:rPr>
      </w:pPr>
      <w:r w:rsidRPr="009D496A">
        <w:rPr>
          <w:rFonts w:asciiTheme="majorBidi" w:hAnsiTheme="majorBidi" w:cstheme="majorBidi"/>
          <w:sz w:val="20"/>
          <w:szCs w:val="20"/>
        </w:rPr>
        <w:t xml:space="preserve">The problem of this research is the inefficacy of PHC due to the "lower adoption" of users. Empirical evidence shows that people refrain from adopting PHC due to distrust </w:t>
      </w:r>
      <w:r w:rsidRPr="009D496A">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{"citationID":"gGYtgaXf","properties":{"formattedCitation":"(Sharma et al., 2019)","plainCitation":"(Sharma et al., 2019)","noteIndex":0},"citationItems":[{"id":1191,"uris":["http://zotero.org/users/5664472/items/5PZK6UQD"],"itemData":{"id":1191,"type":"article-journal","abstract":"Purpose The purpose of this paper is to describe the application of soft systems methodology (SSM) to address the problematic situation of low opt-in rates for Precision Health-Care (PHC). Design/methodology/approach The design logic is that when trust is enhanced and compliance is better assured, participants such as patients and their doctors would be more likely to share their medical data and diagnosis for the purpose of precision modeling. Findings The authors present the findings of an empirical study that confronts the design challenge of increasing participant opt-in to a PHC repository of Electronic Medical Records and genetic sequencing. Guided by SSM, the authors formulate design rules for the establishment of a trust-less platform for PHC which incorporates key principles of transparency, traceability and immutability. Research limitations/implications The SSM approach has been criticized for its lack of “rigour” and “replicability”. This is a fallacy in understanding its purpose – theory exploration rather than theory confirmation. Moreover, it is unlikely that quantitative modeling yields any clearer an understanding of complex, socio-technical systems. Practical implications The application of Blockchain, a platform for distributed ledgers, and associated technologies present a feasible approach for resolving the problematic situation of low opt-in rates. Social implications A consequence of low participation is the weak recall and precision of descriptive, predictive and prescriptive analytic models. Factors such as cyber-crime, data violation and the potential for misuse of genetic and medical records have led to a lack of trust from key stakeholders – accessors, participants, miners and regulators – to varying degrees. Originality/value The application of Blockchain as a trust-enabling platform in the domain of an emerging eco-system such as precision health is novel and pioneering.","container-title":"Industrial Management &amp; Data Systems","DOI":"10.1108/IMDS-07-2019-0401","ISSN":"0263-5577","issue":"3","note":"publisher: Emerald Publishing Limited","page":"608-632","source":"Emerald Insight","title":"Design of Blockchain-based Precision Health-Care Using Soft Systems Methodology","volume":"120","author":[{"family":"Sharma","given":"Ravi"},{"family":"Zhang","given":"Charcy"},{"family":"Wingreen","given":"Stephen C."},{"family":"Kshetri","given":"Nir"},{"family":"Zahid","given":"Arnob"}],"issued":{"date-parts":[["2019",1,1]]}}}],"schema":"https://github.com/citation-style-language/schema/raw/master/csl-citation.json"} </w:instrText>
      </w:r>
      <w:r w:rsidRPr="009D496A">
        <w:rPr>
          <w:rFonts w:asciiTheme="majorBidi" w:hAnsiTheme="majorBidi" w:cstheme="majorBidi"/>
          <w:sz w:val="20"/>
          <w:szCs w:val="20"/>
        </w:rPr>
        <w:fldChar w:fldCharType="separate"/>
      </w:r>
      <w:r w:rsidR="00142517" w:rsidRPr="00142517">
        <w:rPr>
          <w:rFonts w:ascii="Times New Roman" w:hAnsi="Times New Roman" w:cs="Times New Roman"/>
          <w:sz w:val="20"/>
        </w:rPr>
        <w:t>(Sharma et al., 2019)</w:t>
      </w:r>
      <w:r w:rsidRPr="009D496A">
        <w:rPr>
          <w:rFonts w:asciiTheme="majorBidi" w:hAnsiTheme="majorBidi" w:cstheme="majorBidi"/>
          <w:sz w:val="20"/>
          <w:szCs w:val="20"/>
        </w:rPr>
        <w:fldChar w:fldCharType="end"/>
      </w:r>
      <w:r w:rsidRPr="009D496A">
        <w:rPr>
          <w:rFonts w:asciiTheme="majorBidi" w:hAnsiTheme="majorBidi" w:cstheme="majorBidi"/>
          <w:sz w:val="20"/>
          <w:szCs w:val="20"/>
        </w:rPr>
        <w:t xml:space="preserve">. </w:t>
      </w:r>
      <w:r w:rsidR="00BA7700">
        <w:rPr>
          <w:rFonts w:asciiTheme="majorBidi" w:hAnsiTheme="majorBidi" w:cstheme="majorBidi"/>
          <w:sz w:val="20"/>
          <w:szCs w:val="20"/>
        </w:rPr>
        <w:t xml:space="preserve">A </w:t>
      </w:r>
      <w:r w:rsidRPr="009D496A">
        <w:rPr>
          <w:rFonts w:asciiTheme="majorBidi" w:hAnsiTheme="majorBidi" w:cstheme="majorBidi"/>
          <w:sz w:val="20"/>
          <w:szCs w:val="20"/>
        </w:rPr>
        <w:t>comprehensive review of PHC was conducted in this research to understand the unstructured problematic situation of PHC in detail. In the review, fear of cyberattack, unauthorised EHR view and access, disclosure of race, ethnicity, or nationality, suffering from stigma, embarrassment, and discrimination, and the unsatisfactory physician-patient relationship is identified as the plausible reasons for lower adoption of PHC service.</w:t>
      </w:r>
    </w:p>
    <w:p w14:paraId="1AE534EB" w14:textId="47A32970" w:rsidR="00D504B2" w:rsidRPr="00D504B2" w:rsidRDefault="00BA7700" w:rsidP="00BA7700">
      <w:pPr>
        <w:pStyle w:val="Footer"/>
        <w:jc w:val="both"/>
        <w:rPr>
          <w:rFonts w:asciiTheme="majorBidi" w:hAnsiTheme="majorBidi" w:cstheme="majorBidi"/>
          <w:b/>
          <w:i/>
          <w:sz w:val="20"/>
          <w:szCs w:val="20"/>
        </w:rPr>
      </w:pPr>
      <w:r>
        <w:rPr>
          <w:rFonts w:asciiTheme="majorBidi" w:hAnsiTheme="majorBidi" w:cstheme="majorBidi"/>
          <w:b/>
          <w:i/>
          <w:sz w:val="20"/>
          <w:szCs w:val="20"/>
        </w:rPr>
        <w:t xml:space="preserve">Step 2: </w:t>
      </w:r>
      <w:r w:rsidR="00D504B2" w:rsidRPr="00D504B2">
        <w:rPr>
          <w:rFonts w:asciiTheme="majorBidi" w:hAnsiTheme="majorBidi" w:cstheme="majorBidi"/>
          <w:b/>
          <w:i/>
          <w:sz w:val="20"/>
          <w:szCs w:val="20"/>
        </w:rPr>
        <w:t>Analysing the Problematic Situation of Lower Adoption to PHC as a Service</w:t>
      </w:r>
    </w:p>
    <w:p w14:paraId="3AD05F50" w14:textId="6CF5CB25" w:rsidR="00D504B2" w:rsidRDefault="00D504B2" w:rsidP="00BA7700">
      <w:pPr>
        <w:spacing w:after="0" w:line="240" w:lineRule="auto"/>
        <w:jc w:val="both"/>
        <w:rPr>
          <w:rFonts w:asciiTheme="majorBidi" w:hAnsiTheme="majorBidi" w:cstheme="majorBidi"/>
          <w:sz w:val="20"/>
          <w:szCs w:val="20"/>
        </w:rPr>
      </w:pPr>
      <w:r w:rsidRPr="00D504B2">
        <w:rPr>
          <w:rFonts w:asciiTheme="majorBidi" w:hAnsiTheme="majorBidi" w:cstheme="majorBidi"/>
          <w:sz w:val="20"/>
          <w:szCs w:val="20"/>
        </w:rPr>
        <w:t xml:space="preserve">This step involves </w:t>
      </w:r>
      <w:r w:rsidR="00BA7700">
        <w:rPr>
          <w:rFonts w:asciiTheme="majorBidi" w:hAnsiTheme="majorBidi" w:cstheme="majorBidi"/>
          <w:sz w:val="20"/>
          <w:szCs w:val="20"/>
        </w:rPr>
        <w:t>communicating and validating</w:t>
      </w:r>
      <w:r w:rsidRPr="00D504B2">
        <w:rPr>
          <w:rFonts w:asciiTheme="majorBidi" w:hAnsiTheme="majorBidi" w:cstheme="majorBidi"/>
          <w:sz w:val="20"/>
          <w:szCs w:val="20"/>
        </w:rPr>
        <w:t xml:space="preserve"> the problematic situation identified by the researcher. The step is purposed to confirm whether the widespread organisational actors acknowledge the identified problematic situation or not. To acquire this, a researcher can apply different types of tools. Checkland &amp; Scholes </w:t>
      </w:r>
      <w:r w:rsidRPr="00D504B2">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{"citationID":"FS89j3UO","properties":{"formattedCitation":"(Checkland &amp; Scholes, 1999a)","plainCitation":"(Checkland &amp; Scholes, 1999a)","dontUpdate":true,"noteIndex":0},"citationItems":[{"id":409,"uris":["http://zotero.org/users/5664472/items/E4VHFD8Q"],"itemData":{"id":409,"type":"book","abstract":"Soft Systems Methodology in Action \"Whether by design, accident or merely synchronicity, Checkland appears to have developed a habit of writing seminal publications near the start of each decade which establish the basis and framework for systems methodology research for that decade.\" Hamish Rennie, Journal of the Operational Research Society, 1992 Thirty years ago Peter Checkland set out to test whether the Systems Engineering (SE) approach, highly successful in technical problems, could be used by managers coping with the unfolding complexities of organizational life. The straightforward transfer of SE to the broader situations of management was not possible, but by insisting on a combination of systems thinking strongly linked to real-world practice Checkland and his collaborators developed an alternative approach - Soft Systems Methodology (SSM) - which enables managers of all kinds and at any level to deal with the subtleties and confusions of the situations they face. This work established the now accepted distinction between 'hard' systems thinking, in which parts of the world are taken to be 'systems' which can be 'engineered', and 'soft' systems thinking in which the focus is on making sure the process of inquiry into real-world complexity is itself a system for learning. Systems Thinking, Systems Practice (1981) and Soft Systems Methodology in Action (1990) together with an earlier paper Towards a Systems-based Methodology for Real-World Problem Solving (1972) have long been recognized as classics in the field. Now-Peter Checkland has looked back over the three decades of SSM development, brought the account of it up to date, and reflected on the whole evolutionary process which has produced a mature SSM. SSM: A 30-Year Retrospective, here included with Soft Systems Methodology in Action closes a chapter on what is undoubtedly the most significant single research programme on the use of systems ideas in problem solving. Now retired from full-time university work, Peter Checkland continues his research as a Leverhulme Emeritus Fellow.","event-place":"Chichester, Eng. ; New York","ISBN":"978-0-471-98605-8","language":"English","number-of-pages":"418","publisher":"Wiley","publisher-place":"Chichester, Eng. ; New York","source":"Wiley","title":"Soft Systems Methodology in Action","author":[{"family":"Checkland","given":"Peter"},{"family":"Scholes","given":"Jim"}],"issued":{"date-parts":[["1999",9,16]]}}}],"schema":"https://github.com/citation-style-language/schema/raw/master/csl-citation.json"} </w:instrText>
      </w:r>
      <w:r w:rsidRPr="00D504B2">
        <w:rPr>
          <w:rFonts w:asciiTheme="majorBidi" w:hAnsiTheme="majorBidi" w:cstheme="majorBidi"/>
          <w:sz w:val="20"/>
          <w:szCs w:val="20"/>
        </w:rPr>
        <w:fldChar w:fldCharType="separate"/>
      </w:r>
      <w:r w:rsidRPr="00D504B2">
        <w:rPr>
          <w:rFonts w:asciiTheme="majorBidi" w:hAnsiTheme="majorBidi" w:cstheme="majorBidi"/>
          <w:sz w:val="20"/>
          <w:szCs w:val="20"/>
        </w:rPr>
        <w:t>(1999)</w:t>
      </w:r>
      <w:r w:rsidRPr="00D504B2">
        <w:rPr>
          <w:rFonts w:asciiTheme="majorBidi" w:hAnsiTheme="majorBidi" w:cstheme="majorBidi"/>
          <w:sz w:val="20"/>
          <w:szCs w:val="20"/>
        </w:rPr>
        <w:fldChar w:fldCharType="end"/>
      </w:r>
      <w:r w:rsidRPr="00D504B2">
        <w:rPr>
          <w:rFonts w:asciiTheme="majorBidi" w:hAnsiTheme="majorBidi" w:cstheme="majorBidi"/>
          <w:sz w:val="20"/>
          <w:szCs w:val="20"/>
        </w:rPr>
        <w:t xml:space="preserve"> recommends drawing a "rich picture", a detailed, unstructured illustration of the explored problematic situation. Figure </w:t>
      </w:r>
      <w:r w:rsidR="00BA7700">
        <w:rPr>
          <w:rFonts w:asciiTheme="majorBidi" w:hAnsiTheme="majorBidi" w:cstheme="majorBidi"/>
          <w:sz w:val="20"/>
          <w:szCs w:val="20"/>
        </w:rPr>
        <w:t>3</w:t>
      </w:r>
      <w:r w:rsidRPr="00D504B2">
        <w:rPr>
          <w:rFonts w:asciiTheme="majorBidi" w:hAnsiTheme="majorBidi" w:cstheme="majorBidi"/>
          <w:sz w:val="20"/>
          <w:szCs w:val="20"/>
        </w:rPr>
        <w:t xml:space="preserve"> depicts the problematic situation of this </w:t>
      </w:r>
      <w:r w:rsidR="00BA7700">
        <w:rPr>
          <w:rFonts w:asciiTheme="majorBidi" w:hAnsiTheme="majorBidi" w:cstheme="majorBidi"/>
          <w:sz w:val="20"/>
          <w:szCs w:val="20"/>
        </w:rPr>
        <w:t>study</w:t>
      </w:r>
      <w:r w:rsidRPr="00D504B2">
        <w:rPr>
          <w:rFonts w:asciiTheme="majorBidi" w:hAnsiTheme="majorBidi" w:cstheme="majorBidi"/>
          <w:sz w:val="20"/>
          <w:szCs w:val="20"/>
        </w:rPr>
        <w:t xml:space="preserve"> as a "rich picture".</w:t>
      </w:r>
    </w:p>
    <w:p w14:paraId="66E55B19" w14:textId="2AA656E1" w:rsidR="00D504B2" w:rsidRPr="00D504B2" w:rsidRDefault="00D504B2" w:rsidP="00D504B2">
      <w:pPr>
        <w:spacing w:after="0" w:line="240" w:lineRule="auto"/>
        <w:jc w:val="center"/>
        <w:rPr>
          <w:rFonts w:asciiTheme="majorBidi" w:hAnsiTheme="majorBidi" w:cstheme="majorBidi"/>
          <w:sz w:val="20"/>
          <w:szCs w:val="20"/>
        </w:rPr>
      </w:pPr>
      <w:r w:rsidRPr="00D6173F">
        <w:rPr>
          <w:noProof/>
          <w:sz w:val="24"/>
          <w:szCs w:val="24"/>
          <w:lang w:eastAsia="en-NZ"/>
        </w:rPr>
        <w:drawing>
          <wp:inline distT="0" distB="0" distL="0" distR="0" wp14:anchorId="7B9F445C" wp14:editId="663F3873">
            <wp:extent cx="5761370" cy="3007252"/>
            <wp:effectExtent l="0" t="0" r="0" b="3175"/>
            <wp:docPr id="23" name="Picture 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27038" cy="3145922"/>
                    </a:xfrm>
                    <a:prstGeom prst="rect">
                      <a:avLst/>
                    </a:prstGeom>
                    <a:noFill/>
                    <a:ln>
                      <a:noFill/>
                    </a:ln>
                  </pic:spPr>
                </pic:pic>
              </a:graphicData>
            </a:graphic>
          </wp:inline>
        </w:drawing>
      </w:r>
    </w:p>
    <w:p w14:paraId="488524DD" w14:textId="7069D9C0" w:rsidR="00BA7700" w:rsidRPr="00532C61" w:rsidRDefault="00BA7700" w:rsidP="00D719F6">
      <w:pPr>
        <w:spacing w:after="0" w:line="240" w:lineRule="auto"/>
        <w:rPr>
          <w:rFonts w:asciiTheme="majorBidi" w:hAnsiTheme="majorBidi" w:cstheme="majorBidi"/>
          <w:sz w:val="10"/>
          <w:szCs w:val="10"/>
        </w:rPr>
      </w:pPr>
      <w:bookmarkStart w:id="2" w:name="_Toc26274568"/>
      <w:bookmarkStart w:id="3" w:name="_Toc104415849"/>
    </w:p>
    <w:p w14:paraId="36E3FD24" w14:textId="202C500A" w:rsidR="00BA7700" w:rsidRDefault="00BA7700" w:rsidP="00BA7700">
      <w:pPr>
        <w:spacing w:line="240" w:lineRule="auto"/>
        <w:jc w:val="center"/>
        <w:rPr>
          <w:rFonts w:asciiTheme="majorBidi" w:hAnsiTheme="majorBidi" w:cstheme="majorBidi"/>
          <w:sz w:val="20"/>
          <w:szCs w:val="20"/>
        </w:rPr>
      </w:pPr>
      <w:r w:rsidRPr="00BA7700">
        <w:rPr>
          <w:rFonts w:asciiTheme="majorBidi" w:hAnsiTheme="majorBidi" w:cstheme="majorBidi"/>
          <w:sz w:val="20"/>
          <w:szCs w:val="20"/>
        </w:rPr>
        <w:t xml:space="preserve">Figure </w:t>
      </w:r>
      <w:r>
        <w:rPr>
          <w:rFonts w:asciiTheme="majorBidi" w:hAnsiTheme="majorBidi" w:cstheme="majorBidi"/>
          <w:sz w:val="20"/>
          <w:szCs w:val="20"/>
        </w:rPr>
        <w:t>3</w:t>
      </w:r>
      <w:r w:rsidRPr="00BA7700">
        <w:rPr>
          <w:rFonts w:asciiTheme="majorBidi" w:hAnsiTheme="majorBidi" w:cstheme="majorBidi"/>
          <w:sz w:val="20"/>
          <w:szCs w:val="20"/>
        </w:rPr>
        <w:t>: Generalised "Rich Picture" of the Current Problematic Situation of PHC</w:t>
      </w:r>
      <w:r>
        <w:rPr>
          <w:rFonts w:asciiTheme="majorBidi" w:hAnsiTheme="majorBidi" w:cstheme="majorBidi"/>
          <w:sz w:val="20"/>
          <w:szCs w:val="20"/>
        </w:rPr>
        <w:t xml:space="preserve"> service</w:t>
      </w:r>
      <w:r w:rsidRPr="00BA7700">
        <w:rPr>
          <w:rFonts w:asciiTheme="majorBidi" w:hAnsiTheme="majorBidi" w:cstheme="majorBidi"/>
          <w:sz w:val="20"/>
          <w:szCs w:val="20"/>
        </w:rPr>
        <w:t>.</w:t>
      </w:r>
    </w:p>
    <w:p w14:paraId="5F0745E1" w14:textId="77777777" w:rsidR="00B54C1D" w:rsidRPr="00BA7700" w:rsidRDefault="00B54C1D" w:rsidP="00BA7700">
      <w:pPr>
        <w:spacing w:line="240" w:lineRule="auto"/>
        <w:jc w:val="center"/>
        <w:rPr>
          <w:rFonts w:asciiTheme="majorBidi" w:hAnsiTheme="majorBidi" w:cstheme="majorBidi"/>
          <w:sz w:val="20"/>
          <w:szCs w:val="20"/>
        </w:rPr>
      </w:pPr>
    </w:p>
    <w:bookmarkEnd w:id="2"/>
    <w:bookmarkEnd w:id="3"/>
    <w:p w14:paraId="6E074C7E" w14:textId="4CD8F888" w:rsidR="00D504B2" w:rsidRPr="00D504B2" w:rsidRDefault="00BA7700" w:rsidP="00BA7700">
      <w:pPr>
        <w:pStyle w:val="Footer"/>
        <w:jc w:val="both"/>
        <w:rPr>
          <w:rFonts w:asciiTheme="majorBidi" w:hAnsiTheme="majorBidi" w:cstheme="majorBidi"/>
          <w:b/>
          <w:i/>
          <w:sz w:val="20"/>
          <w:szCs w:val="20"/>
        </w:rPr>
      </w:pPr>
      <w:r>
        <w:rPr>
          <w:rFonts w:asciiTheme="majorBidi" w:hAnsiTheme="majorBidi" w:cstheme="majorBidi"/>
          <w:b/>
          <w:i/>
          <w:sz w:val="20"/>
          <w:szCs w:val="20"/>
        </w:rPr>
        <w:t xml:space="preserve">Step 3: </w:t>
      </w:r>
      <w:r w:rsidR="00D504B2" w:rsidRPr="00D504B2">
        <w:rPr>
          <w:rFonts w:asciiTheme="majorBidi" w:hAnsiTheme="majorBidi" w:cstheme="majorBidi"/>
          <w:b/>
          <w:i/>
          <w:sz w:val="20"/>
          <w:szCs w:val="20"/>
        </w:rPr>
        <w:t>Formulating the Root Definition of The Relevant System</w:t>
      </w:r>
    </w:p>
    <w:p w14:paraId="290E785C" w14:textId="31A78B5B" w:rsidR="00D504B2" w:rsidRDefault="00D504B2" w:rsidP="00B1393E">
      <w:pPr>
        <w:pStyle w:val="FootnoteText"/>
        <w:spacing w:after="0" w:line="240" w:lineRule="auto"/>
        <w:jc w:val="both"/>
        <w:rPr>
          <w:rFonts w:asciiTheme="majorBidi" w:hAnsiTheme="majorBidi" w:cstheme="majorBidi"/>
        </w:rPr>
      </w:pPr>
      <w:r w:rsidRPr="00D504B2">
        <w:rPr>
          <w:rFonts w:asciiTheme="majorBidi" w:hAnsiTheme="majorBidi" w:cstheme="majorBidi"/>
        </w:rPr>
        <w:t xml:space="preserve">This step </w:t>
      </w:r>
      <w:r w:rsidR="00BA7700">
        <w:rPr>
          <w:rFonts w:asciiTheme="majorBidi" w:hAnsiTheme="majorBidi" w:cstheme="majorBidi"/>
        </w:rPr>
        <w:t>is</w:t>
      </w:r>
      <w:r w:rsidRPr="00D504B2">
        <w:rPr>
          <w:rFonts w:asciiTheme="majorBidi" w:hAnsiTheme="majorBidi" w:cstheme="majorBidi"/>
        </w:rPr>
        <w:t xml:space="preserve"> the unique step of </w:t>
      </w:r>
      <w:r w:rsidR="00BA7700">
        <w:rPr>
          <w:rFonts w:asciiTheme="majorBidi" w:hAnsiTheme="majorBidi" w:cstheme="majorBidi"/>
        </w:rPr>
        <w:t>SSM</w:t>
      </w:r>
      <w:r w:rsidRPr="00D504B2">
        <w:rPr>
          <w:rFonts w:asciiTheme="majorBidi" w:hAnsiTheme="majorBidi" w:cstheme="majorBidi"/>
        </w:rPr>
        <w:t xml:space="preserve">. The "real" world problem moves into the world of systems through this step. This step is purposed to develop the "Root Definition" of the relevant system. </w:t>
      </w:r>
      <w:r w:rsidR="00BA7700" w:rsidRPr="00D504B2">
        <w:rPr>
          <w:rFonts w:asciiTheme="majorBidi" w:hAnsiTheme="majorBidi" w:cstheme="majorBidi"/>
        </w:rPr>
        <w:t>Root Definition</w:t>
      </w:r>
      <w:r w:rsidRPr="00D504B2">
        <w:rPr>
          <w:rFonts w:asciiTheme="majorBidi" w:hAnsiTheme="majorBidi" w:cstheme="majorBidi"/>
        </w:rPr>
        <w:t xml:space="preserve"> means the purpose statement of the human activity system. The definition development progresses with two steps: (</w:t>
      </w:r>
      <w:proofErr w:type="spellStart"/>
      <w:r w:rsidRPr="00D504B2">
        <w:rPr>
          <w:rFonts w:asciiTheme="majorBidi" w:hAnsiTheme="majorBidi" w:cstheme="majorBidi"/>
        </w:rPr>
        <w:t>i</w:t>
      </w:r>
      <w:proofErr w:type="spellEnd"/>
      <w:r w:rsidRPr="00D504B2">
        <w:rPr>
          <w:rFonts w:asciiTheme="majorBidi" w:hAnsiTheme="majorBidi" w:cstheme="majorBidi"/>
        </w:rPr>
        <w:t>) Clarifying what the system intends to transform or change and (ii) Applying the CATWOE</w:t>
      </w:r>
      <w:r w:rsidR="00BA7700">
        <w:rPr>
          <w:rFonts w:asciiTheme="majorBidi" w:hAnsiTheme="majorBidi" w:cstheme="majorBidi"/>
        </w:rPr>
        <w:t xml:space="preserve"> (a</w:t>
      </w:r>
      <w:r w:rsidR="00BA7700" w:rsidRPr="00CB53D8">
        <w:rPr>
          <w:rFonts w:asciiTheme="majorBidi" w:hAnsiTheme="majorBidi" w:cstheme="majorBidi"/>
        </w:rPr>
        <w:t>n acronym; customer/client, actor, transformation process, worldview, owners and environmental constraints</w:t>
      </w:r>
      <w:r w:rsidR="00BA7700">
        <w:rPr>
          <w:rFonts w:asciiTheme="majorBidi" w:hAnsiTheme="majorBidi" w:cstheme="majorBidi"/>
        </w:rPr>
        <w:t xml:space="preserve">) </w:t>
      </w:r>
      <w:r w:rsidRPr="00D504B2">
        <w:rPr>
          <w:rFonts w:asciiTheme="majorBidi" w:hAnsiTheme="majorBidi" w:cstheme="majorBidi"/>
        </w:rPr>
        <w:t xml:space="preserve">framework to provide the </w:t>
      </w:r>
      <w:r w:rsidR="00BA7700" w:rsidRPr="00BA7700">
        <w:rPr>
          <w:rFonts w:asciiTheme="majorBidi" w:hAnsiTheme="majorBidi" w:cstheme="majorBidi"/>
        </w:rPr>
        <w:t>Root Definition</w:t>
      </w:r>
      <w:r w:rsidRPr="00D504B2">
        <w:rPr>
          <w:rFonts w:asciiTheme="majorBidi" w:hAnsiTheme="majorBidi" w:cstheme="majorBidi"/>
        </w:rPr>
        <w:t xml:space="preserve"> for the transformation made. Therefore, as per the description, the </w:t>
      </w:r>
      <w:r w:rsidR="00BA7700" w:rsidRPr="00D504B2">
        <w:rPr>
          <w:rFonts w:asciiTheme="majorBidi" w:hAnsiTheme="majorBidi" w:cstheme="majorBidi"/>
        </w:rPr>
        <w:t xml:space="preserve">Root Definition </w:t>
      </w:r>
      <w:r w:rsidRPr="00D504B2">
        <w:rPr>
          <w:rFonts w:asciiTheme="majorBidi" w:hAnsiTheme="majorBidi" w:cstheme="majorBidi"/>
        </w:rPr>
        <w:t>of this research is:</w:t>
      </w:r>
    </w:p>
    <w:p w14:paraId="0399EB91" w14:textId="77777777" w:rsidR="00B1393E" w:rsidRPr="00B1393E" w:rsidRDefault="00B1393E" w:rsidP="00B1393E">
      <w:pPr>
        <w:pStyle w:val="FootnoteText"/>
        <w:spacing w:after="0" w:line="240" w:lineRule="auto"/>
        <w:jc w:val="both"/>
        <w:rPr>
          <w:rFonts w:asciiTheme="majorBidi" w:hAnsiTheme="majorBidi" w:cstheme="majorBidi"/>
          <w:sz w:val="6"/>
          <w:szCs w:val="6"/>
        </w:rPr>
      </w:pPr>
    </w:p>
    <w:p w14:paraId="2B2C1B31" w14:textId="32F7160A" w:rsidR="00D504B2" w:rsidRDefault="00D504B2" w:rsidP="00B1393E">
      <w:pPr>
        <w:spacing w:after="0" w:line="240" w:lineRule="auto"/>
        <w:jc w:val="center"/>
        <w:rPr>
          <w:rFonts w:asciiTheme="majorBidi" w:hAnsiTheme="majorBidi" w:cstheme="majorBidi"/>
          <w:b/>
          <w:i/>
          <w:sz w:val="20"/>
          <w:szCs w:val="20"/>
        </w:rPr>
      </w:pPr>
      <w:r w:rsidRPr="00D504B2">
        <w:rPr>
          <w:rFonts w:asciiTheme="majorBidi" w:hAnsiTheme="majorBidi" w:cstheme="majorBidi"/>
          <w:b/>
          <w:i/>
          <w:sz w:val="20"/>
          <w:szCs w:val="20"/>
        </w:rPr>
        <w:t xml:space="preserve">Development of artefacts for a PHC ecosystem based on system design principles and rules by incorporating </w:t>
      </w:r>
      <w:r w:rsidR="00BA7700">
        <w:rPr>
          <w:rFonts w:asciiTheme="majorBidi" w:hAnsiTheme="majorBidi" w:cstheme="majorBidi"/>
          <w:b/>
          <w:i/>
          <w:sz w:val="20"/>
          <w:szCs w:val="20"/>
        </w:rPr>
        <w:t>B</w:t>
      </w:r>
      <w:r w:rsidRPr="00D504B2">
        <w:rPr>
          <w:rFonts w:asciiTheme="majorBidi" w:hAnsiTheme="majorBidi" w:cstheme="majorBidi"/>
          <w:b/>
          <w:i/>
          <w:sz w:val="20"/>
          <w:szCs w:val="20"/>
        </w:rPr>
        <w:t>lockchain and emerging information technologies to ensure trust among the users.</w:t>
      </w:r>
    </w:p>
    <w:p w14:paraId="4C154CE8" w14:textId="77777777" w:rsidR="00B1393E" w:rsidRPr="00B1393E" w:rsidRDefault="00B1393E" w:rsidP="00B1393E">
      <w:pPr>
        <w:spacing w:after="0" w:line="240" w:lineRule="auto"/>
        <w:jc w:val="center"/>
        <w:rPr>
          <w:rFonts w:asciiTheme="majorBidi" w:hAnsiTheme="majorBidi" w:cstheme="majorBidi"/>
          <w:b/>
          <w:i/>
          <w:sz w:val="10"/>
          <w:szCs w:val="10"/>
        </w:rPr>
      </w:pPr>
    </w:p>
    <w:p w14:paraId="561C025D" w14:textId="69F0B551" w:rsidR="00D504B2" w:rsidRDefault="00D504B2" w:rsidP="00B1393E">
      <w:pPr>
        <w:spacing w:after="0" w:line="240" w:lineRule="auto"/>
        <w:jc w:val="both"/>
        <w:rPr>
          <w:rFonts w:asciiTheme="majorBidi" w:hAnsiTheme="majorBidi" w:cstheme="majorBidi"/>
          <w:sz w:val="20"/>
          <w:szCs w:val="20"/>
        </w:rPr>
      </w:pPr>
      <w:r w:rsidRPr="00D504B2">
        <w:rPr>
          <w:rFonts w:asciiTheme="majorBidi" w:hAnsiTheme="majorBidi" w:cstheme="majorBidi"/>
          <w:sz w:val="20"/>
          <w:szCs w:val="20"/>
        </w:rPr>
        <w:t xml:space="preserve">The CATWOE framework used to develop the </w:t>
      </w:r>
      <w:r w:rsidR="00BA7700" w:rsidRPr="00BA7700">
        <w:rPr>
          <w:rFonts w:asciiTheme="majorBidi" w:hAnsiTheme="majorBidi" w:cstheme="majorBidi"/>
          <w:sz w:val="20"/>
          <w:szCs w:val="20"/>
        </w:rPr>
        <w:t>Root Definition</w:t>
      </w:r>
      <w:r w:rsidRPr="00D504B2">
        <w:rPr>
          <w:rFonts w:asciiTheme="majorBidi" w:hAnsiTheme="majorBidi" w:cstheme="majorBidi"/>
          <w:sz w:val="20"/>
          <w:szCs w:val="20"/>
        </w:rPr>
        <w:t xml:space="preserve"> is also provided in table</w:t>
      </w:r>
      <w:r w:rsidR="00BA7700">
        <w:rPr>
          <w:rFonts w:asciiTheme="majorBidi" w:hAnsiTheme="majorBidi" w:cstheme="majorBidi"/>
          <w:sz w:val="20"/>
          <w:szCs w:val="20"/>
        </w:rPr>
        <w:t xml:space="preserve"> </w:t>
      </w:r>
      <w:r w:rsidR="00652069">
        <w:rPr>
          <w:rFonts w:asciiTheme="majorBidi" w:hAnsiTheme="majorBidi" w:cstheme="majorBidi"/>
          <w:sz w:val="20"/>
          <w:szCs w:val="20"/>
        </w:rPr>
        <w:t>1.</w:t>
      </w:r>
    </w:p>
    <w:p w14:paraId="00C7E813" w14:textId="77777777" w:rsidR="00B1393E" w:rsidRPr="00B1393E" w:rsidRDefault="00B1393E" w:rsidP="00B1393E">
      <w:pPr>
        <w:spacing w:after="0" w:line="240" w:lineRule="auto"/>
        <w:jc w:val="both"/>
        <w:rPr>
          <w:rFonts w:asciiTheme="majorBidi" w:hAnsiTheme="majorBidi" w:cstheme="majorBidi"/>
          <w:sz w:val="8"/>
          <w:szCs w:val="8"/>
        </w:rPr>
      </w:pPr>
    </w:p>
    <w:p w14:paraId="0B938247" w14:textId="1D5FA2EE" w:rsidR="00D504B2" w:rsidRPr="00D504B2" w:rsidRDefault="00D504B2" w:rsidP="00BA7700">
      <w:pPr>
        <w:pStyle w:val="Heading4"/>
        <w:spacing w:before="0" w:line="240" w:lineRule="auto"/>
        <w:rPr>
          <w:rFonts w:asciiTheme="majorBidi" w:hAnsiTheme="majorBidi"/>
          <w:i/>
          <w:sz w:val="20"/>
          <w:szCs w:val="20"/>
        </w:rPr>
      </w:pPr>
      <w:bookmarkStart w:id="4" w:name="_Toc93431496"/>
      <w:bookmarkStart w:id="5" w:name="_Toc104416192"/>
      <w:r w:rsidRPr="00D504B2">
        <w:rPr>
          <w:rFonts w:asciiTheme="majorBidi" w:hAnsiTheme="majorBidi"/>
          <w:sz w:val="20"/>
          <w:szCs w:val="20"/>
        </w:rPr>
        <w:t xml:space="preserve">Table </w:t>
      </w:r>
      <w:r w:rsidR="00652069">
        <w:rPr>
          <w:rFonts w:asciiTheme="majorBidi" w:hAnsiTheme="majorBidi"/>
          <w:sz w:val="20"/>
          <w:szCs w:val="20"/>
        </w:rPr>
        <w:t>1</w:t>
      </w:r>
      <w:r w:rsidRPr="00D504B2">
        <w:rPr>
          <w:rFonts w:asciiTheme="majorBidi" w:hAnsiTheme="majorBidi"/>
          <w:sz w:val="20"/>
          <w:szCs w:val="20"/>
        </w:rPr>
        <w:t>: CATWOE of Emerging Technology Enabled PHC</w:t>
      </w:r>
      <w:r w:rsidR="00BA7700">
        <w:rPr>
          <w:rFonts w:asciiTheme="majorBidi" w:hAnsiTheme="majorBidi"/>
          <w:sz w:val="20"/>
          <w:szCs w:val="20"/>
        </w:rPr>
        <w:t xml:space="preserve"> service</w:t>
      </w:r>
      <w:r w:rsidRPr="00D504B2">
        <w:rPr>
          <w:rFonts w:asciiTheme="majorBidi" w:hAnsiTheme="majorBidi"/>
          <w:sz w:val="20"/>
          <w:szCs w:val="20"/>
        </w:rPr>
        <w:t>.</w:t>
      </w:r>
      <w:bookmarkEnd w:id="4"/>
      <w:bookmarkEnd w:id="5"/>
    </w:p>
    <w:tbl>
      <w:tblPr>
        <w:tblStyle w:val="TableGrid"/>
        <w:tblW w:w="0" w:type="auto"/>
        <w:jc w:val="center"/>
        <w:tblLook w:val="04A0" w:firstRow="1" w:lastRow="0" w:firstColumn="1" w:lastColumn="0" w:noHBand="0" w:noVBand="1"/>
      </w:tblPr>
      <w:tblGrid>
        <w:gridCol w:w="1709"/>
        <w:gridCol w:w="3653"/>
        <w:gridCol w:w="4414"/>
      </w:tblGrid>
      <w:tr w:rsidR="00D504B2" w:rsidRPr="00D504B2" w14:paraId="10662A14" w14:textId="77777777" w:rsidTr="00B1393E">
        <w:trPr>
          <w:jc w:val="center"/>
        </w:trPr>
        <w:tc>
          <w:tcPr>
            <w:tcW w:w="1709" w:type="dxa"/>
          </w:tcPr>
          <w:p w14:paraId="34F9A520"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Clients</w:t>
            </w:r>
          </w:p>
        </w:tc>
        <w:tc>
          <w:tcPr>
            <w:tcW w:w="8067" w:type="dxa"/>
            <w:gridSpan w:val="2"/>
          </w:tcPr>
          <w:p w14:paraId="68409377" w14:textId="77777777" w:rsidR="00D504B2" w:rsidRPr="00D504B2" w:rsidRDefault="00D504B2" w:rsidP="00D504B2">
            <w:pPr>
              <w:pStyle w:val="Footer"/>
              <w:numPr>
                <w:ilvl w:val="0"/>
                <w:numId w:val="9"/>
              </w:numPr>
              <w:spacing w:line="276" w:lineRule="auto"/>
              <w:jc w:val="both"/>
              <w:rPr>
                <w:rFonts w:asciiTheme="majorBidi" w:hAnsiTheme="majorBidi" w:cstheme="majorBidi"/>
                <w:b/>
                <w:bCs/>
                <w:sz w:val="20"/>
                <w:szCs w:val="20"/>
              </w:rPr>
            </w:pPr>
            <w:r w:rsidRPr="00D504B2">
              <w:rPr>
                <w:rFonts w:asciiTheme="majorBidi" w:hAnsiTheme="majorBidi" w:cstheme="majorBidi"/>
                <w:sz w:val="20"/>
                <w:szCs w:val="20"/>
              </w:rPr>
              <w:t>Patients</w:t>
            </w:r>
          </w:p>
        </w:tc>
      </w:tr>
      <w:tr w:rsidR="00D504B2" w:rsidRPr="00D504B2" w14:paraId="1249EBA9" w14:textId="77777777" w:rsidTr="00B1393E">
        <w:trPr>
          <w:jc w:val="center"/>
        </w:trPr>
        <w:tc>
          <w:tcPr>
            <w:tcW w:w="1709" w:type="dxa"/>
          </w:tcPr>
          <w:p w14:paraId="3A68FFAE"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Actors</w:t>
            </w:r>
          </w:p>
        </w:tc>
        <w:tc>
          <w:tcPr>
            <w:tcW w:w="3653" w:type="dxa"/>
          </w:tcPr>
          <w:p w14:paraId="69259BD0"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Patients</w:t>
            </w:r>
          </w:p>
          <w:p w14:paraId="62D76017"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Health Practitioners</w:t>
            </w:r>
          </w:p>
          <w:p w14:paraId="7B8E30E9"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 xml:space="preserve">Providers </w:t>
            </w:r>
          </w:p>
        </w:tc>
        <w:tc>
          <w:tcPr>
            <w:tcW w:w="4414" w:type="dxa"/>
          </w:tcPr>
          <w:p w14:paraId="18F763B1"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Technology Vendors</w:t>
            </w:r>
          </w:p>
          <w:p w14:paraId="65B83951"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Payors</w:t>
            </w:r>
          </w:p>
          <w:p w14:paraId="677BC538" w14:textId="77777777" w:rsidR="00D504B2" w:rsidRPr="00D504B2" w:rsidRDefault="00D504B2" w:rsidP="00D504B2">
            <w:pPr>
              <w:pStyle w:val="Footer"/>
              <w:numPr>
                <w:ilvl w:val="0"/>
                <w:numId w:val="6"/>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Policymakers/Regulators</w:t>
            </w:r>
          </w:p>
        </w:tc>
      </w:tr>
      <w:tr w:rsidR="00D504B2" w:rsidRPr="00D504B2" w14:paraId="387F0C92" w14:textId="77777777" w:rsidTr="00B1393E">
        <w:trPr>
          <w:jc w:val="center"/>
        </w:trPr>
        <w:tc>
          <w:tcPr>
            <w:tcW w:w="1709" w:type="dxa"/>
          </w:tcPr>
          <w:p w14:paraId="38E25E9A"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 xml:space="preserve">Transformation </w:t>
            </w:r>
          </w:p>
        </w:tc>
        <w:tc>
          <w:tcPr>
            <w:tcW w:w="8067" w:type="dxa"/>
            <w:gridSpan w:val="2"/>
          </w:tcPr>
          <w:p w14:paraId="5F541A3A" w14:textId="77777777" w:rsidR="00D504B2" w:rsidRPr="00D504B2" w:rsidRDefault="00D504B2" w:rsidP="00D504B2">
            <w:pPr>
              <w:pStyle w:val="Footer"/>
              <w:numPr>
                <w:ilvl w:val="0"/>
                <w:numId w:val="10"/>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Artefacts for a PHC ecosystem (based on system design principles and rules, incorporating emerging information technologies)</w:t>
            </w:r>
          </w:p>
        </w:tc>
      </w:tr>
      <w:tr w:rsidR="00D504B2" w:rsidRPr="00D504B2" w14:paraId="46F4AF30" w14:textId="77777777" w:rsidTr="00B1393E">
        <w:trPr>
          <w:jc w:val="center"/>
        </w:trPr>
        <w:tc>
          <w:tcPr>
            <w:tcW w:w="1709" w:type="dxa"/>
          </w:tcPr>
          <w:p w14:paraId="7D120D49"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Worldview</w:t>
            </w:r>
          </w:p>
        </w:tc>
        <w:tc>
          <w:tcPr>
            <w:tcW w:w="8067" w:type="dxa"/>
            <w:gridSpan w:val="2"/>
          </w:tcPr>
          <w:p w14:paraId="389497F7"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Improving practice for growing trust and uptake rates</w:t>
            </w:r>
          </w:p>
          <w:p w14:paraId="3796AEAE"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Enhancing the level of health knowledge of PHC</w:t>
            </w:r>
          </w:p>
          <w:p w14:paraId="2AB81BC9"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Eliciting emerging techs for users' uptake</w:t>
            </w:r>
          </w:p>
          <w:p w14:paraId="740EA7F0"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Providing trusted, reliable healthcare monitoring</w:t>
            </w:r>
          </w:p>
          <w:p w14:paraId="714D8BAF"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Enabling precise healthcare with navigation (right time and right location)</w:t>
            </w:r>
          </w:p>
        </w:tc>
      </w:tr>
      <w:tr w:rsidR="00D504B2" w:rsidRPr="00D504B2" w14:paraId="51739F6C" w14:textId="77777777" w:rsidTr="00B1393E">
        <w:trPr>
          <w:jc w:val="center"/>
        </w:trPr>
        <w:tc>
          <w:tcPr>
            <w:tcW w:w="1709" w:type="dxa"/>
          </w:tcPr>
          <w:p w14:paraId="33F18C98"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Owners</w:t>
            </w:r>
          </w:p>
        </w:tc>
        <w:tc>
          <w:tcPr>
            <w:tcW w:w="8067" w:type="dxa"/>
            <w:gridSpan w:val="2"/>
          </w:tcPr>
          <w:p w14:paraId="54AB79FC" w14:textId="77777777" w:rsidR="00D504B2" w:rsidRPr="00D504B2" w:rsidRDefault="00D504B2" w:rsidP="00D504B2">
            <w:pPr>
              <w:pStyle w:val="Footer"/>
              <w:numPr>
                <w:ilvl w:val="0"/>
                <w:numId w:val="7"/>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Providers (Government or Non-government)</w:t>
            </w:r>
          </w:p>
        </w:tc>
      </w:tr>
      <w:tr w:rsidR="00D504B2" w:rsidRPr="00D504B2" w14:paraId="7CA6A860" w14:textId="77777777" w:rsidTr="00B1393E">
        <w:trPr>
          <w:jc w:val="center"/>
        </w:trPr>
        <w:tc>
          <w:tcPr>
            <w:tcW w:w="1709" w:type="dxa"/>
          </w:tcPr>
          <w:p w14:paraId="5BB7DB22" w14:textId="77777777" w:rsidR="00D504B2" w:rsidRPr="00BA7700" w:rsidRDefault="00D504B2" w:rsidP="006B1D87">
            <w:pPr>
              <w:spacing w:line="276" w:lineRule="auto"/>
              <w:jc w:val="center"/>
              <w:rPr>
                <w:rFonts w:asciiTheme="majorBidi" w:hAnsiTheme="majorBidi" w:cstheme="majorBidi"/>
                <w:b/>
                <w:bCs/>
                <w:i/>
                <w:iCs/>
                <w:sz w:val="20"/>
                <w:szCs w:val="20"/>
              </w:rPr>
            </w:pPr>
            <w:r w:rsidRPr="00BA7700">
              <w:rPr>
                <w:rFonts w:asciiTheme="majorBidi" w:hAnsiTheme="majorBidi" w:cstheme="majorBidi"/>
                <w:b/>
                <w:bCs/>
                <w:i/>
                <w:iCs/>
                <w:sz w:val="20"/>
                <w:szCs w:val="20"/>
              </w:rPr>
              <w:t>Environmental Constraints</w:t>
            </w:r>
          </w:p>
        </w:tc>
        <w:tc>
          <w:tcPr>
            <w:tcW w:w="8067" w:type="dxa"/>
            <w:gridSpan w:val="2"/>
          </w:tcPr>
          <w:p w14:paraId="375E8C95"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Data Protection Legislation</w:t>
            </w:r>
          </w:p>
          <w:p w14:paraId="4143F2D1" w14:textId="77777777" w:rsidR="00D504B2" w:rsidRPr="00D504B2" w:rsidRDefault="00D504B2" w:rsidP="00D504B2">
            <w:pPr>
              <w:pStyle w:val="Footer"/>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 xml:space="preserve">Medical Ethics – Genetic Information, Incentive Mechanisms </w:t>
            </w:r>
          </w:p>
          <w:p w14:paraId="66C708BA" w14:textId="77777777" w:rsidR="00D504B2" w:rsidRPr="00D504B2" w:rsidRDefault="00D504B2" w:rsidP="00D504B2">
            <w:pPr>
              <w:pStyle w:val="Footer"/>
              <w:keepNext/>
              <w:numPr>
                <w:ilvl w:val="0"/>
                <w:numId w:val="8"/>
              </w:numPr>
              <w:spacing w:line="276" w:lineRule="auto"/>
              <w:jc w:val="both"/>
              <w:rPr>
                <w:rFonts w:asciiTheme="majorBidi" w:hAnsiTheme="majorBidi" w:cstheme="majorBidi"/>
                <w:sz w:val="20"/>
                <w:szCs w:val="20"/>
              </w:rPr>
            </w:pPr>
            <w:r w:rsidRPr="00D504B2">
              <w:rPr>
                <w:rFonts w:asciiTheme="majorBidi" w:hAnsiTheme="majorBidi" w:cstheme="majorBidi"/>
                <w:sz w:val="20"/>
                <w:szCs w:val="20"/>
              </w:rPr>
              <w:t>Emerging Technologies (Currently in development)</w:t>
            </w:r>
          </w:p>
        </w:tc>
      </w:tr>
    </w:tbl>
    <w:p w14:paraId="26F37F7B" w14:textId="783B7022" w:rsidR="00BA7700" w:rsidRPr="00BA7700" w:rsidRDefault="00BA7700" w:rsidP="00D719F6">
      <w:pPr>
        <w:spacing w:after="0" w:line="240" w:lineRule="auto"/>
        <w:rPr>
          <w:rFonts w:asciiTheme="majorBidi" w:hAnsiTheme="majorBidi" w:cstheme="majorBidi"/>
          <w:sz w:val="20"/>
          <w:szCs w:val="20"/>
        </w:rPr>
      </w:pPr>
    </w:p>
    <w:p w14:paraId="20965ECB" w14:textId="0F360A59" w:rsidR="00D504B2" w:rsidRPr="00D504B2" w:rsidRDefault="00BA7700" w:rsidP="00BA7700">
      <w:pPr>
        <w:pStyle w:val="Caption"/>
        <w:spacing w:after="0" w:line="240" w:lineRule="auto"/>
        <w:jc w:val="both"/>
        <w:rPr>
          <w:rFonts w:asciiTheme="majorBidi" w:hAnsiTheme="majorBidi" w:cstheme="majorBidi"/>
          <w:b/>
          <w:iCs w:val="0"/>
          <w:color w:val="auto"/>
          <w:sz w:val="20"/>
          <w:szCs w:val="20"/>
        </w:rPr>
      </w:pPr>
      <w:r>
        <w:rPr>
          <w:rFonts w:asciiTheme="majorBidi" w:hAnsiTheme="majorBidi" w:cstheme="majorBidi"/>
          <w:b/>
          <w:iCs w:val="0"/>
          <w:color w:val="auto"/>
          <w:sz w:val="20"/>
          <w:szCs w:val="20"/>
        </w:rPr>
        <w:t xml:space="preserve">Step 4: </w:t>
      </w:r>
      <w:r w:rsidR="00D504B2" w:rsidRPr="00D504B2">
        <w:rPr>
          <w:rFonts w:asciiTheme="majorBidi" w:hAnsiTheme="majorBidi" w:cstheme="majorBidi"/>
          <w:b/>
          <w:iCs w:val="0"/>
          <w:color w:val="auto"/>
          <w:sz w:val="20"/>
          <w:szCs w:val="20"/>
        </w:rPr>
        <w:t>Building Artefacts of the PHC ecosystem</w:t>
      </w:r>
    </w:p>
    <w:p w14:paraId="2F696948" w14:textId="1EA0708D" w:rsidR="00D504B2" w:rsidRPr="00BA7700" w:rsidRDefault="00D504B2" w:rsidP="00BA7700">
      <w:pPr>
        <w:spacing w:line="240" w:lineRule="auto"/>
        <w:jc w:val="both"/>
        <w:rPr>
          <w:rFonts w:asciiTheme="majorBidi" w:hAnsiTheme="majorBidi" w:cstheme="majorBidi"/>
          <w:sz w:val="20"/>
          <w:szCs w:val="20"/>
        </w:rPr>
      </w:pPr>
      <w:r w:rsidRPr="00BA7700">
        <w:rPr>
          <w:rFonts w:asciiTheme="majorBidi" w:hAnsiTheme="majorBidi" w:cstheme="majorBidi"/>
          <w:sz w:val="20"/>
          <w:szCs w:val="20"/>
        </w:rPr>
        <w:t xml:space="preserve">These artefacts of the PHC ecosystem were designed </w:t>
      </w:r>
      <w:r w:rsidR="00BA7700" w:rsidRPr="00BA7700">
        <w:rPr>
          <w:rFonts w:asciiTheme="majorBidi" w:hAnsiTheme="majorBidi" w:cstheme="majorBidi"/>
          <w:sz w:val="20"/>
          <w:szCs w:val="20"/>
        </w:rPr>
        <w:t>based on</w:t>
      </w:r>
      <w:r w:rsidRPr="00BA7700">
        <w:rPr>
          <w:rFonts w:asciiTheme="majorBidi" w:hAnsiTheme="majorBidi" w:cstheme="majorBidi"/>
          <w:sz w:val="20"/>
          <w:szCs w:val="20"/>
        </w:rPr>
        <w:t xml:space="preserve"> the CATWOE framework, incorporating the design principles and rules </w:t>
      </w:r>
      <w:r w:rsidR="00BA7700" w:rsidRPr="00BA7700">
        <w:rPr>
          <w:rFonts w:asciiTheme="majorBidi" w:hAnsiTheme="majorBidi" w:cstheme="majorBidi"/>
          <w:sz w:val="20"/>
          <w:szCs w:val="20"/>
        </w:rPr>
        <w:t>discussed in the previous section</w:t>
      </w:r>
      <w:r w:rsidRPr="00BA7700">
        <w:rPr>
          <w:rFonts w:asciiTheme="majorBidi" w:hAnsiTheme="majorBidi" w:cstheme="majorBidi"/>
          <w:sz w:val="20"/>
          <w:szCs w:val="20"/>
        </w:rPr>
        <w:t xml:space="preserve">. </w:t>
      </w:r>
      <w:r w:rsidR="00142517">
        <w:rPr>
          <w:rFonts w:asciiTheme="majorBidi" w:hAnsiTheme="majorBidi" w:cstheme="majorBidi"/>
          <w:sz w:val="20"/>
          <w:szCs w:val="20"/>
        </w:rPr>
        <w:t>D</w:t>
      </w:r>
      <w:r w:rsidRPr="00BA7700">
        <w:rPr>
          <w:rFonts w:asciiTheme="majorBidi" w:hAnsiTheme="majorBidi" w:cstheme="majorBidi"/>
          <w:sz w:val="20"/>
          <w:szCs w:val="20"/>
        </w:rPr>
        <w:t>raw.io</w:t>
      </w:r>
      <w:r w:rsidR="00BA7700" w:rsidRPr="00BA7700">
        <w:rPr>
          <w:rFonts w:asciiTheme="majorBidi" w:hAnsiTheme="majorBidi" w:cstheme="majorBidi"/>
          <w:sz w:val="20"/>
          <w:szCs w:val="20"/>
        </w:rPr>
        <w:t xml:space="preserve"> (A UML designing tool)</w:t>
      </w:r>
      <w:r w:rsidRPr="00BA7700">
        <w:rPr>
          <w:rFonts w:asciiTheme="majorBidi" w:hAnsiTheme="majorBidi" w:cstheme="majorBidi"/>
          <w:sz w:val="20"/>
          <w:szCs w:val="20"/>
        </w:rPr>
        <w:t xml:space="preserve"> was used as the diagramming tool</w:t>
      </w:r>
      <w:r w:rsidR="00142517">
        <w:rPr>
          <w:rFonts w:asciiTheme="majorBidi" w:hAnsiTheme="majorBidi" w:cstheme="majorBidi"/>
          <w:sz w:val="20"/>
          <w:szCs w:val="20"/>
        </w:rPr>
        <w:t xml:space="preserve"> to design these artefacts</w:t>
      </w:r>
      <w:r w:rsidRPr="00BA7700">
        <w:rPr>
          <w:rFonts w:asciiTheme="majorBidi" w:hAnsiTheme="majorBidi" w:cstheme="majorBidi"/>
          <w:sz w:val="20"/>
          <w:szCs w:val="20"/>
        </w:rPr>
        <w:t>. Besides artefacts, multiple ¨rich pictures¨ were also developed to ensure a simple representation of the designed ecosystem during the demonstration. The rich pictures were developed using Microsoft Paint and included different user contexts associated with the PHC ecosystem. Refinement of the artefacts was obtained by using the same tools described to ensure rigour in design, as well as "suggestions and or comments for improvement" given in the design refinement interviews (DRIs) and design validation workshop (DVW). The strategies adopted in the DRIs and DVW are discussed next.</w:t>
      </w:r>
    </w:p>
    <w:p w14:paraId="79F8BEF4" w14:textId="40412FA5" w:rsidR="00D504B2" w:rsidRPr="00BA7700" w:rsidRDefault="00BA7700" w:rsidP="00BA7700">
      <w:pPr>
        <w:pStyle w:val="Footer"/>
        <w:jc w:val="both"/>
        <w:rPr>
          <w:rFonts w:asciiTheme="majorBidi" w:hAnsiTheme="majorBidi" w:cstheme="majorBidi"/>
          <w:b/>
          <w:i/>
          <w:sz w:val="20"/>
          <w:szCs w:val="20"/>
        </w:rPr>
      </w:pPr>
      <w:r w:rsidRPr="00BA7700">
        <w:rPr>
          <w:rFonts w:asciiTheme="majorBidi" w:hAnsiTheme="majorBidi" w:cstheme="majorBidi"/>
          <w:b/>
          <w:i/>
          <w:sz w:val="20"/>
          <w:szCs w:val="20"/>
        </w:rPr>
        <w:t xml:space="preserve">Step 5: </w:t>
      </w:r>
      <w:r w:rsidR="00D504B2" w:rsidRPr="00BA7700">
        <w:rPr>
          <w:rFonts w:asciiTheme="majorBidi" w:hAnsiTheme="majorBidi" w:cstheme="majorBidi"/>
          <w:b/>
          <w:i/>
          <w:sz w:val="20"/>
          <w:szCs w:val="20"/>
        </w:rPr>
        <w:t>Refining and Validating the Design Artefacts in the Real World</w:t>
      </w:r>
    </w:p>
    <w:p w14:paraId="3E12706E" w14:textId="106B4C28" w:rsidR="00BA7700" w:rsidRDefault="00D504B2" w:rsidP="00142517">
      <w:pPr>
        <w:spacing w:after="0" w:line="240" w:lineRule="auto"/>
        <w:jc w:val="both"/>
        <w:rPr>
          <w:rFonts w:asciiTheme="majorBidi" w:hAnsiTheme="majorBidi" w:cstheme="majorBidi"/>
          <w:sz w:val="20"/>
          <w:szCs w:val="20"/>
        </w:rPr>
      </w:pPr>
      <w:bookmarkStart w:id="6" w:name="_Hlk97833819"/>
      <w:r w:rsidRPr="00BA7700">
        <w:rPr>
          <w:rFonts w:asciiTheme="majorBidi" w:hAnsiTheme="majorBidi" w:cstheme="majorBidi"/>
          <w:sz w:val="20"/>
          <w:szCs w:val="20"/>
        </w:rPr>
        <w:t xml:space="preserve">The designed </w:t>
      </w:r>
      <w:r w:rsidR="00BA7700">
        <w:rPr>
          <w:rFonts w:asciiTheme="majorBidi" w:hAnsiTheme="majorBidi" w:cstheme="majorBidi"/>
          <w:sz w:val="20"/>
          <w:szCs w:val="20"/>
        </w:rPr>
        <w:t xml:space="preserve">PHC ecosystem </w:t>
      </w:r>
      <w:r w:rsidRPr="00BA7700">
        <w:rPr>
          <w:rFonts w:asciiTheme="majorBidi" w:hAnsiTheme="majorBidi" w:cstheme="majorBidi"/>
          <w:sz w:val="20"/>
          <w:szCs w:val="20"/>
        </w:rPr>
        <w:t>artefact</w:t>
      </w:r>
      <w:r w:rsidR="00BA7700">
        <w:rPr>
          <w:rFonts w:asciiTheme="majorBidi" w:hAnsiTheme="majorBidi" w:cstheme="majorBidi"/>
          <w:sz w:val="20"/>
          <w:szCs w:val="20"/>
        </w:rPr>
        <w:t xml:space="preserve"> and sub-artefacts</w:t>
      </w:r>
      <w:r w:rsidRPr="00BA7700">
        <w:rPr>
          <w:rFonts w:asciiTheme="majorBidi" w:hAnsiTheme="majorBidi" w:cstheme="majorBidi"/>
          <w:sz w:val="20"/>
          <w:szCs w:val="20"/>
        </w:rPr>
        <w:t xml:space="preserve"> (i.e., dynamic modelling or scenario modelling) of the PHC ecosystem w</w:t>
      </w:r>
      <w:r w:rsidR="00BA7700">
        <w:rPr>
          <w:rFonts w:asciiTheme="majorBidi" w:hAnsiTheme="majorBidi" w:cstheme="majorBidi"/>
          <w:sz w:val="20"/>
          <w:szCs w:val="20"/>
        </w:rPr>
        <w:t>as</w:t>
      </w:r>
      <w:r w:rsidRPr="00BA7700">
        <w:rPr>
          <w:rFonts w:asciiTheme="majorBidi" w:hAnsiTheme="majorBidi" w:cstheme="majorBidi"/>
          <w:sz w:val="20"/>
          <w:szCs w:val="20"/>
        </w:rPr>
        <w:t xml:space="preserve"> first presented during the DRIs for informed participation. </w:t>
      </w:r>
      <w:r w:rsidR="00BA7700" w:rsidRPr="00BA7700">
        <w:rPr>
          <w:rFonts w:asciiTheme="majorBidi" w:hAnsiTheme="majorBidi" w:cstheme="majorBidi"/>
          <w:sz w:val="20"/>
          <w:szCs w:val="20"/>
        </w:rPr>
        <w:t>A total of 18 healthcare actors with different backgrounds</w:t>
      </w:r>
      <w:r w:rsidR="00637F58">
        <w:rPr>
          <w:rFonts w:asciiTheme="majorBidi" w:hAnsiTheme="majorBidi" w:cstheme="majorBidi"/>
          <w:sz w:val="20"/>
          <w:szCs w:val="20"/>
        </w:rPr>
        <w:t xml:space="preserve"> (</w:t>
      </w:r>
      <w:r w:rsidR="00142517">
        <w:rPr>
          <w:rFonts w:asciiTheme="majorBidi" w:hAnsiTheme="majorBidi" w:cstheme="majorBidi"/>
          <w:sz w:val="20"/>
          <w:szCs w:val="20"/>
        </w:rPr>
        <w:t>providers</w:t>
      </w:r>
      <w:r w:rsidR="00637F58">
        <w:rPr>
          <w:rFonts w:asciiTheme="majorBidi" w:hAnsiTheme="majorBidi" w:cstheme="majorBidi"/>
          <w:sz w:val="20"/>
          <w:szCs w:val="20"/>
        </w:rPr>
        <w:t xml:space="preserve">, </w:t>
      </w:r>
      <w:r w:rsidR="00142517">
        <w:rPr>
          <w:rFonts w:asciiTheme="majorBidi" w:hAnsiTheme="majorBidi" w:cstheme="majorBidi"/>
          <w:sz w:val="20"/>
          <w:szCs w:val="20"/>
        </w:rPr>
        <w:t>policymakers</w:t>
      </w:r>
      <w:r w:rsidR="00637F58">
        <w:rPr>
          <w:rFonts w:asciiTheme="majorBidi" w:hAnsiTheme="majorBidi" w:cstheme="majorBidi"/>
          <w:sz w:val="20"/>
          <w:szCs w:val="20"/>
        </w:rPr>
        <w:t xml:space="preserve">, </w:t>
      </w:r>
      <w:r w:rsidR="00142517">
        <w:rPr>
          <w:rFonts w:asciiTheme="majorBidi" w:hAnsiTheme="majorBidi" w:cstheme="majorBidi"/>
          <w:sz w:val="20"/>
          <w:szCs w:val="20"/>
        </w:rPr>
        <w:t>p</w:t>
      </w:r>
      <w:r w:rsidR="00637F58">
        <w:rPr>
          <w:rFonts w:asciiTheme="majorBidi" w:hAnsiTheme="majorBidi" w:cstheme="majorBidi"/>
          <w:sz w:val="20"/>
          <w:szCs w:val="20"/>
        </w:rPr>
        <w:t>ayor</w:t>
      </w:r>
      <w:r w:rsidR="00142517">
        <w:rPr>
          <w:rFonts w:asciiTheme="majorBidi" w:hAnsiTheme="majorBidi" w:cstheme="majorBidi"/>
          <w:sz w:val="20"/>
          <w:szCs w:val="20"/>
        </w:rPr>
        <w:t>s</w:t>
      </w:r>
      <w:r w:rsidR="00637F58">
        <w:rPr>
          <w:rFonts w:asciiTheme="majorBidi" w:hAnsiTheme="majorBidi" w:cstheme="majorBidi"/>
          <w:sz w:val="20"/>
          <w:szCs w:val="20"/>
        </w:rPr>
        <w:t xml:space="preserve">, </w:t>
      </w:r>
      <w:r w:rsidR="00142517">
        <w:rPr>
          <w:rFonts w:asciiTheme="majorBidi" w:hAnsiTheme="majorBidi" w:cstheme="majorBidi"/>
          <w:sz w:val="20"/>
          <w:szCs w:val="20"/>
        </w:rPr>
        <w:t>t</w:t>
      </w:r>
      <w:r w:rsidR="00637F58">
        <w:rPr>
          <w:rFonts w:asciiTheme="majorBidi" w:hAnsiTheme="majorBidi" w:cstheme="majorBidi"/>
          <w:sz w:val="20"/>
          <w:szCs w:val="20"/>
        </w:rPr>
        <w:t xml:space="preserve">echnology </w:t>
      </w:r>
      <w:r w:rsidR="00142517">
        <w:rPr>
          <w:rFonts w:asciiTheme="majorBidi" w:hAnsiTheme="majorBidi" w:cstheme="majorBidi"/>
          <w:sz w:val="20"/>
          <w:szCs w:val="20"/>
        </w:rPr>
        <w:t>v</w:t>
      </w:r>
      <w:r w:rsidR="00637F58">
        <w:rPr>
          <w:rFonts w:asciiTheme="majorBidi" w:hAnsiTheme="majorBidi" w:cstheme="majorBidi"/>
          <w:sz w:val="20"/>
          <w:szCs w:val="20"/>
        </w:rPr>
        <w:t>endor</w:t>
      </w:r>
      <w:r w:rsidR="00142517">
        <w:rPr>
          <w:rFonts w:asciiTheme="majorBidi" w:hAnsiTheme="majorBidi" w:cstheme="majorBidi"/>
          <w:sz w:val="20"/>
          <w:szCs w:val="20"/>
        </w:rPr>
        <w:t>s</w:t>
      </w:r>
      <w:r w:rsidR="00637F58">
        <w:rPr>
          <w:rFonts w:asciiTheme="majorBidi" w:hAnsiTheme="majorBidi" w:cstheme="majorBidi"/>
          <w:sz w:val="20"/>
          <w:szCs w:val="20"/>
        </w:rPr>
        <w:t xml:space="preserve">, </w:t>
      </w:r>
      <w:r w:rsidR="00142517">
        <w:rPr>
          <w:rFonts w:asciiTheme="majorBidi" w:hAnsiTheme="majorBidi" w:cstheme="majorBidi"/>
          <w:sz w:val="20"/>
          <w:szCs w:val="20"/>
        </w:rPr>
        <w:t>r</w:t>
      </w:r>
      <w:r w:rsidR="00637F58">
        <w:rPr>
          <w:rFonts w:asciiTheme="majorBidi" w:hAnsiTheme="majorBidi" w:cstheme="majorBidi"/>
          <w:sz w:val="20"/>
          <w:szCs w:val="20"/>
        </w:rPr>
        <w:t>esearcher</w:t>
      </w:r>
      <w:r w:rsidR="00142517">
        <w:rPr>
          <w:rFonts w:asciiTheme="majorBidi" w:hAnsiTheme="majorBidi" w:cstheme="majorBidi"/>
          <w:sz w:val="20"/>
          <w:szCs w:val="20"/>
        </w:rPr>
        <w:t>s</w:t>
      </w:r>
      <w:r w:rsidR="00637F58">
        <w:rPr>
          <w:rFonts w:asciiTheme="majorBidi" w:hAnsiTheme="majorBidi" w:cstheme="majorBidi"/>
          <w:sz w:val="20"/>
          <w:szCs w:val="20"/>
        </w:rPr>
        <w:t xml:space="preserve">, </w:t>
      </w:r>
      <w:r w:rsidR="00142517">
        <w:rPr>
          <w:rFonts w:asciiTheme="majorBidi" w:hAnsiTheme="majorBidi" w:cstheme="majorBidi"/>
          <w:sz w:val="20"/>
          <w:szCs w:val="20"/>
        </w:rPr>
        <w:t>h</w:t>
      </w:r>
      <w:r w:rsidR="00637F58">
        <w:rPr>
          <w:rFonts w:asciiTheme="majorBidi" w:hAnsiTheme="majorBidi" w:cstheme="majorBidi"/>
          <w:sz w:val="20"/>
          <w:szCs w:val="20"/>
        </w:rPr>
        <w:t xml:space="preserve">ealth </w:t>
      </w:r>
      <w:r w:rsidR="00142517">
        <w:rPr>
          <w:rFonts w:asciiTheme="majorBidi" w:hAnsiTheme="majorBidi" w:cstheme="majorBidi"/>
          <w:sz w:val="20"/>
          <w:szCs w:val="20"/>
        </w:rPr>
        <w:t>p</w:t>
      </w:r>
      <w:r w:rsidR="00637F58">
        <w:rPr>
          <w:rFonts w:asciiTheme="majorBidi" w:hAnsiTheme="majorBidi" w:cstheme="majorBidi"/>
          <w:sz w:val="20"/>
          <w:szCs w:val="20"/>
        </w:rPr>
        <w:t>ractitioner</w:t>
      </w:r>
      <w:r w:rsidR="00142517">
        <w:rPr>
          <w:rFonts w:asciiTheme="majorBidi" w:hAnsiTheme="majorBidi" w:cstheme="majorBidi"/>
          <w:sz w:val="20"/>
          <w:szCs w:val="20"/>
        </w:rPr>
        <w:t>s</w:t>
      </w:r>
      <w:r w:rsidR="00637F58">
        <w:rPr>
          <w:rFonts w:asciiTheme="majorBidi" w:hAnsiTheme="majorBidi" w:cstheme="majorBidi"/>
          <w:sz w:val="20"/>
          <w:szCs w:val="20"/>
        </w:rPr>
        <w:t xml:space="preserve">, and </w:t>
      </w:r>
      <w:r w:rsidR="00142517">
        <w:rPr>
          <w:rFonts w:asciiTheme="majorBidi" w:hAnsiTheme="majorBidi" w:cstheme="majorBidi"/>
          <w:sz w:val="20"/>
          <w:szCs w:val="20"/>
        </w:rPr>
        <w:t>p</w:t>
      </w:r>
      <w:r w:rsidR="00637F58">
        <w:rPr>
          <w:rFonts w:asciiTheme="majorBidi" w:hAnsiTheme="majorBidi" w:cstheme="majorBidi"/>
          <w:sz w:val="20"/>
          <w:szCs w:val="20"/>
        </w:rPr>
        <w:t>atient</w:t>
      </w:r>
      <w:r w:rsidR="00142517">
        <w:rPr>
          <w:rFonts w:asciiTheme="majorBidi" w:hAnsiTheme="majorBidi" w:cstheme="majorBidi"/>
          <w:sz w:val="20"/>
          <w:szCs w:val="20"/>
        </w:rPr>
        <w:t>s</w:t>
      </w:r>
      <w:r w:rsidR="00637F58">
        <w:rPr>
          <w:rFonts w:asciiTheme="majorBidi" w:hAnsiTheme="majorBidi" w:cstheme="majorBidi"/>
          <w:sz w:val="20"/>
          <w:szCs w:val="20"/>
        </w:rPr>
        <w:t>)</w:t>
      </w:r>
      <w:r w:rsidR="00BA7700" w:rsidRPr="00BA7700">
        <w:rPr>
          <w:rFonts w:asciiTheme="majorBidi" w:hAnsiTheme="majorBidi" w:cstheme="majorBidi"/>
          <w:sz w:val="20"/>
          <w:szCs w:val="20"/>
        </w:rPr>
        <w:t xml:space="preserve"> participated in the DRIs. The participating actors are active professionals working in the health industry of Australia, Bangladesh, Canada, Germany, New Zealand, and the United Kingdom. </w:t>
      </w:r>
      <w:r w:rsidR="00BA7700">
        <w:rPr>
          <w:rFonts w:asciiTheme="majorBidi" w:hAnsiTheme="majorBidi" w:cstheme="majorBidi"/>
          <w:sz w:val="20"/>
          <w:szCs w:val="20"/>
        </w:rPr>
        <w:t>The n</w:t>
      </w:r>
      <w:r w:rsidR="00BA7700" w:rsidRPr="00BA7700">
        <w:rPr>
          <w:rFonts w:asciiTheme="majorBidi" w:hAnsiTheme="majorBidi" w:cstheme="majorBidi"/>
          <w:sz w:val="20"/>
          <w:szCs w:val="20"/>
        </w:rPr>
        <w:t xml:space="preserve">umber of DRIs was not progressed further due to theoretical saturation. </w:t>
      </w:r>
      <w:r w:rsidRPr="00BA7700">
        <w:rPr>
          <w:rFonts w:asciiTheme="majorBidi" w:hAnsiTheme="majorBidi" w:cstheme="majorBidi"/>
          <w:sz w:val="20"/>
          <w:szCs w:val="20"/>
        </w:rPr>
        <w:t xml:space="preserve">A design refinement instrument (structured in a questionnaire format) addressing the demonstrated artefacts was distributed among the </w:t>
      </w:r>
      <w:r w:rsidRPr="00637F58">
        <w:rPr>
          <w:rFonts w:asciiTheme="majorBidi" w:hAnsiTheme="majorBidi" w:cstheme="majorBidi"/>
          <w:sz w:val="20"/>
          <w:szCs w:val="20"/>
        </w:rPr>
        <w:t xml:space="preserve">participating healthcare actors during the demonstration. The instrument was developed using guidelines from established design research methodologies (specifically, Checkland &amp; Scholes, 1999b; </w:t>
      </w:r>
      <w:r w:rsidRPr="00637F58">
        <w:rPr>
          <w:rFonts w:asciiTheme="majorBidi" w:hAnsiTheme="majorBidi" w:cstheme="majorBidi"/>
          <w:sz w:val="20"/>
          <w:szCs w:val="20"/>
        </w:rPr>
        <w:fldChar w:fldCharType="begin"/>
      </w:r>
      <w:r w:rsidR="00142517">
        <w:rPr>
          <w:rFonts w:asciiTheme="majorBidi" w:hAnsiTheme="majorBidi" w:cstheme="majorBidi"/>
          <w:sz w:val="20"/>
          <w:szCs w:val="20"/>
        </w:rPr>
        <w:instrText xml:space="preserve"> ADDIN ZOTERO_ITEM CSL_CITATION {"citationID":"P3bXAC5Y","properties":{"formattedCitation":"(Hevner, March, Park, &amp; Ram, 2004; Prat, Comyn-Wattiau, &amp; Akoka, 2015)","plainCitation":"(Hevner, March, Park, &amp; Ram, 2004; Prat, Comyn-Wattiau, &amp; Akoka, 2015)","dontUpdate":true,"noteIndex":0},"citationItems":[{"id":1094,"uris":["http://zotero.org/users/5664472/items/NXTUNQJZ"],"itemData":{"id":1094,"type":"article-journal","abstract":"Two paradigms characterize much of the research in the Information Systems discipline: behavioral science and design science. The behavioral-science paradigm seeks to develop and verify theories that explain or predict human or organizational behavior. The design-science paradigm seeks to extend the boundaries of human and organizational capabilities by creating new and innovative artifacts. Both paradigms are foundational to the IS discipline, positioned as it is at the confluence of people, organizations, and technology. Our objective is to describe the performance of design-science research in Information Systems via a concise conceptual framework and clear guidelines for understanding, executing, and evaluating the research. In the design-science paradigm, knowledge and understanding of a problem domain and its solution are achieved in the building and application of the designed artifact. Three recent exemplars in the research literature are used to demonstrate the application of these guidelines. We conclude with an analysis of the challenges of performing high-quality design-science research in the context of the broader IS community.","container-title":"MIS Quaterly","ISSN":"0276-7783","issue":"1","page":"75–105","source":"ACM Digital Library","title":"Design Science in Information Systems Research","volume":"28","author":[{"family":"Hevner","given":"Alan R."},{"family":"March","given":"Salvatore T."},{"family":"Park","given":"Jinsoo"},{"family":"Ram","given":"Sudha"}],"issued":{"date-parts":[["2004",3]]}}},{"id":1047,"uris":["http://zotero.org/users/5664472/items/WCCLEWHL"],"itemData":{"id":1047,"type":"article-journal","abstract":"Artifacts, such as software systems, pervade organizations and society. In the field of information systems (IS) they form the core of research. The evaluation of IS artifacts thus represents a major issue. Although IS research paradigms are increasingly intertwined, building and evaluating artifacts has traditionally been the purview of design science research (DSR). DSR in IS has not reached maturity yet. This is particularly true of artifact evaluation. This paper investigates the “what” and the “how” of IS artifact evaluation: what are the objects and criteria of evaluation, the methods for evaluating the criteria, and the relationships between the “what” and the “how” of evaluation? To answer these questions, we develop a taxonomy of evaluation methods for IS artifacts. With this taxonomy, we analyze IS artifact evaluation practice, as reflected by ten years of DSR publications in the basket of journals of the Association for Information Systems (AIS). This research brings to light important relationships between the dimensions of IS artifact evaluation, and identifies seven typical evaluation patterns: demonstration; simulation- and metricbased benchmarking of artifacts; practice-based evaluation of effectiveness; simulation- and metric-based absolute evaluation of artifacts; practice-based evaluation of usefulness or ease of use; laboratory, student-based evaluation of usefulness; and algorithmic complexity analysis. This study also reveals a focus of artifact evaluation practice on a few criteria. Beyond immediate usefulness, IS researchers are urged to investigate ways of evaluating the long-term organizational impact and the societal impact of artifacts.","container-title":"Management Information Systems","DOI":"10.1080/07421222.2015.1099390","ISSN":"0742-1222, 1557-928X","issue":"3","journalAbbreviation":"Journal of Management Information Systems","language":"en","page":"229-267","source":"DOI.org (Crossref)","title":"A Taxonomy of Evaluation Methods for Information Systems Artifacts","volume":"32","author":[{"family":"Prat","given":"Nicolas"},{"family":"Comyn-Wattiau","given":"Isabelle"},{"family":"Akoka","given":"Jacky"}],"issued":{"date-parts":[["2015",7,3]]}}}],"schema":"https://github.com/citation-style-language/schema/raw/master/csl-citation.json"} </w:instrText>
      </w:r>
      <w:r w:rsidRPr="00637F58">
        <w:rPr>
          <w:rFonts w:asciiTheme="majorBidi" w:hAnsiTheme="majorBidi" w:cstheme="majorBidi"/>
          <w:sz w:val="20"/>
          <w:szCs w:val="20"/>
        </w:rPr>
        <w:fldChar w:fldCharType="separate"/>
      </w:r>
      <w:r w:rsidRPr="00637F58">
        <w:rPr>
          <w:rFonts w:asciiTheme="majorBidi" w:hAnsiTheme="majorBidi" w:cstheme="majorBidi"/>
          <w:sz w:val="20"/>
          <w:szCs w:val="20"/>
        </w:rPr>
        <w:t>Hevner et al., 2004; Prat et al., 2015; Vaishnavi &amp; Kuechler, 2015)</w:t>
      </w:r>
      <w:r w:rsidRPr="00637F58">
        <w:rPr>
          <w:rFonts w:asciiTheme="majorBidi" w:hAnsiTheme="majorBidi" w:cstheme="majorBidi"/>
          <w:sz w:val="20"/>
          <w:szCs w:val="20"/>
        </w:rPr>
        <w:fldChar w:fldCharType="end"/>
      </w:r>
      <w:r w:rsidRPr="00637F58">
        <w:rPr>
          <w:rFonts w:asciiTheme="majorBidi" w:hAnsiTheme="majorBidi" w:cstheme="majorBidi"/>
          <w:sz w:val="20"/>
          <w:szCs w:val="20"/>
        </w:rPr>
        <w:t xml:space="preserve"> to assess the efficacy and effectiveness of the designed artefacts and capable of delivering valuable user insights derived from the actors' experience and expertise. </w:t>
      </w:r>
      <w:r w:rsidR="00BA7700" w:rsidRPr="00637F58">
        <w:rPr>
          <w:rFonts w:asciiTheme="majorBidi" w:hAnsiTheme="majorBidi" w:cstheme="majorBidi"/>
          <w:sz w:val="20"/>
          <w:szCs w:val="20"/>
        </w:rPr>
        <w:t xml:space="preserve">Data obtained in the DRIs were further analysed with NVivo (qualitative data analysis tool). After a multi-tier screening of the </w:t>
      </w:r>
      <w:r w:rsidR="005A53A3" w:rsidRPr="00637F58">
        <w:rPr>
          <w:rFonts w:asciiTheme="majorBidi" w:hAnsiTheme="majorBidi" w:cstheme="majorBidi"/>
          <w:sz w:val="20"/>
          <w:szCs w:val="20"/>
        </w:rPr>
        <w:t xml:space="preserve">collected data, 55 comments or suggestions (including repetitive ones) were identified and analysed for further consideration in </w:t>
      </w:r>
      <w:r w:rsidR="00142517">
        <w:rPr>
          <w:rFonts w:asciiTheme="majorBidi" w:hAnsiTheme="majorBidi" w:cstheme="majorBidi"/>
          <w:sz w:val="20"/>
          <w:szCs w:val="20"/>
        </w:rPr>
        <w:t>improving</w:t>
      </w:r>
      <w:r w:rsidR="005A53A3" w:rsidRPr="00637F58">
        <w:rPr>
          <w:rFonts w:asciiTheme="majorBidi" w:hAnsiTheme="majorBidi" w:cstheme="majorBidi"/>
          <w:sz w:val="20"/>
          <w:szCs w:val="20"/>
        </w:rPr>
        <w:t xml:space="preserve"> artefacts</w:t>
      </w:r>
      <w:r w:rsidRPr="00637F58">
        <w:rPr>
          <w:rFonts w:asciiTheme="majorBidi" w:hAnsiTheme="majorBidi" w:cstheme="majorBidi"/>
          <w:sz w:val="20"/>
          <w:szCs w:val="20"/>
        </w:rPr>
        <w:t xml:space="preserve">. The </w:t>
      </w:r>
      <w:r w:rsidR="00337176" w:rsidRPr="00637F58">
        <w:rPr>
          <w:rFonts w:asciiTheme="majorBidi" w:hAnsiTheme="majorBidi" w:cstheme="majorBidi"/>
          <w:sz w:val="20"/>
          <w:szCs w:val="20"/>
        </w:rPr>
        <w:t>"</w:t>
      </w:r>
      <w:r w:rsidRPr="00637F58">
        <w:rPr>
          <w:rFonts w:asciiTheme="majorBidi" w:hAnsiTheme="majorBidi" w:cstheme="majorBidi"/>
          <w:sz w:val="20"/>
          <w:szCs w:val="20"/>
        </w:rPr>
        <w:t>final versions</w:t>
      </w:r>
      <w:r w:rsidR="00337176" w:rsidRPr="00637F58">
        <w:rPr>
          <w:rFonts w:asciiTheme="majorBidi" w:hAnsiTheme="majorBidi" w:cstheme="majorBidi"/>
          <w:sz w:val="20"/>
          <w:szCs w:val="20"/>
        </w:rPr>
        <w:t>"</w:t>
      </w:r>
      <w:r w:rsidRPr="00637F58">
        <w:rPr>
          <w:rFonts w:asciiTheme="majorBidi" w:hAnsiTheme="majorBidi" w:cstheme="majorBidi"/>
          <w:sz w:val="20"/>
          <w:szCs w:val="20"/>
        </w:rPr>
        <w:t xml:space="preserve"> of the </w:t>
      </w:r>
      <w:r w:rsidR="00BA7700" w:rsidRPr="00637F58">
        <w:rPr>
          <w:rFonts w:asciiTheme="majorBidi" w:hAnsiTheme="majorBidi" w:cstheme="majorBidi"/>
          <w:sz w:val="20"/>
          <w:szCs w:val="20"/>
        </w:rPr>
        <w:t xml:space="preserve">PHC ecosystem </w:t>
      </w:r>
      <w:r w:rsidRPr="00637F58">
        <w:rPr>
          <w:rFonts w:asciiTheme="majorBidi" w:hAnsiTheme="majorBidi" w:cstheme="majorBidi"/>
          <w:sz w:val="20"/>
          <w:szCs w:val="20"/>
        </w:rPr>
        <w:t>artefact</w:t>
      </w:r>
      <w:r w:rsidR="00BA7700" w:rsidRPr="00637F58">
        <w:rPr>
          <w:rFonts w:asciiTheme="majorBidi" w:hAnsiTheme="majorBidi" w:cstheme="majorBidi"/>
          <w:sz w:val="20"/>
          <w:szCs w:val="20"/>
        </w:rPr>
        <w:t xml:space="preserve"> and sub-artefacts</w:t>
      </w:r>
      <w:r w:rsidRPr="00637F58">
        <w:rPr>
          <w:rFonts w:asciiTheme="majorBidi" w:hAnsiTheme="majorBidi" w:cstheme="majorBidi"/>
          <w:sz w:val="20"/>
          <w:szCs w:val="20"/>
        </w:rPr>
        <w:t xml:space="preserve"> were next demonstrated in a DVW</w:t>
      </w:r>
      <w:r w:rsidR="00637F58" w:rsidRPr="00637F58">
        <w:rPr>
          <w:rFonts w:asciiTheme="majorBidi" w:hAnsiTheme="majorBidi" w:cstheme="majorBidi"/>
          <w:sz w:val="20"/>
          <w:szCs w:val="20"/>
        </w:rPr>
        <w:t>, using the New Zealand Healthcare ecosystem as an illustration</w:t>
      </w:r>
      <w:r w:rsidRPr="00637F58">
        <w:rPr>
          <w:rFonts w:asciiTheme="majorBidi" w:hAnsiTheme="majorBidi" w:cstheme="majorBidi"/>
          <w:sz w:val="20"/>
          <w:szCs w:val="20"/>
        </w:rPr>
        <w:t>.</w:t>
      </w:r>
      <w:r w:rsidR="00BA7700" w:rsidRPr="00637F58">
        <w:rPr>
          <w:rFonts w:asciiTheme="majorBidi" w:hAnsiTheme="majorBidi" w:cstheme="majorBidi"/>
          <w:sz w:val="20"/>
          <w:szCs w:val="20"/>
        </w:rPr>
        <w:t xml:space="preserve"> A </w:t>
      </w:r>
      <w:r w:rsidR="005A53A3" w:rsidRPr="00637F58">
        <w:rPr>
          <w:rFonts w:asciiTheme="majorBidi" w:hAnsiTheme="majorBidi" w:cstheme="majorBidi"/>
          <w:sz w:val="20"/>
          <w:szCs w:val="20"/>
        </w:rPr>
        <w:t>D</w:t>
      </w:r>
      <w:r w:rsidR="00BA7700" w:rsidRPr="00637F58">
        <w:rPr>
          <w:rFonts w:asciiTheme="majorBidi" w:hAnsiTheme="majorBidi" w:cstheme="majorBidi"/>
          <w:sz w:val="20"/>
          <w:szCs w:val="20"/>
        </w:rPr>
        <w:t>elphi panel of 20 New Zealand healthcare actors with different backgrounds</w:t>
      </w:r>
      <w:r w:rsidR="00637F58" w:rsidRPr="00637F58">
        <w:rPr>
          <w:rFonts w:asciiTheme="majorBidi" w:hAnsiTheme="majorBidi" w:cstheme="majorBidi"/>
          <w:sz w:val="20"/>
          <w:szCs w:val="20"/>
        </w:rPr>
        <w:t xml:space="preserve"> (</w:t>
      </w:r>
      <w:r w:rsidR="00142517" w:rsidRPr="00142517">
        <w:rPr>
          <w:rFonts w:asciiTheme="majorBidi" w:hAnsiTheme="majorBidi" w:cstheme="majorBidi"/>
          <w:sz w:val="20"/>
          <w:szCs w:val="20"/>
        </w:rPr>
        <w:t>providers, policymakers, payors, technology vendors, researchers, health practitioners, and patients</w:t>
      </w:r>
      <w:r w:rsidR="00637F58" w:rsidRPr="00637F58">
        <w:rPr>
          <w:rFonts w:asciiTheme="majorBidi" w:hAnsiTheme="majorBidi" w:cstheme="majorBidi"/>
          <w:sz w:val="20"/>
          <w:szCs w:val="20"/>
        </w:rPr>
        <w:t>)</w:t>
      </w:r>
      <w:r w:rsidR="00BA7700" w:rsidRPr="00637F58">
        <w:rPr>
          <w:rFonts w:asciiTheme="majorBidi" w:hAnsiTheme="majorBidi" w:cstheme="majorBidi"/>
          <w:sz w:val="20"/>
          <w:szCs w:val="20"/>
        </w:rPr>
        <w:t xml:space="preserve"> participated in the DVW. The participating actors were active professionals working in Auckland District Health Board (ADHB), Canterbury District Health Board (CDHB), Ministry of Primary Industries,</w:t>
      </w:r>
      <w:r w:rsidR="00BA7700" w:rsidRPr="00BA7700">
        <w:rPr>
          <w:rFonts w:asciiTheme="majorBidi" w:hAnsiTheme="majorBidi" w:cstheme="majorBidi"/>
          <w:sz w:val="20"/>
          <w:szCs w:val="20"/>
        </w:rPr>
        <w:t xml:space="preserve"> University of Canterbury, and a health-tech organi</w:t>
      </w:r>
      <w:r w:rsidR="00BA7700">
        <w:rPr>
          <w:rFonts w:asciiTheme="majorBidi" w:hAnsiTheme="majorBidi" w:cstheme="majorBidi"/>
          <w:sz w:val="20"/>
          <w:szCs w:val="20"/>
        </w:rPr>
        <w:t>s</w:t>
      </w:r>
      <w:r w:rsidR="00BA7700" w:rsidRPr="00BA7700">
        <w:rPr>
          <w:rFonts w:asciiTheme="majorBidi" w:hAnsiTheme="majorBidi" w:cstheme="majorBidi"/>
          <w:sz w:val="20"/>
          <w:szCs w:val="20"/>
        </w:rPr>
        <w:t>ation in New Zealand.</w:t>
      </w:r>
      <w:r w:rsidR="00BA7700">
        <w:rPr>
          <w:rFonts w:asciiTheme="majorBidi" w:hAnsiTheme="majorBidi" w:cstheme="majorBidi"/>
          <w:sz w:val="20"/>
          <w:szCs w:val="20"/>
        </w:rPr>
        <w:t xml:space="preserve"> During the demonstration, a structured questionnaire addressing the refined artefacts' technological feasibility, economic viability, and social desirability was sent to the participating actors</w:t>
      </w:r>
      <w:r w:rsidRPr="00BA7700">
        <w:rPr>
          <w:rFonts w:asciiTheme="majorBidi" w:hAnsiTheme="majorBidi" w:cstheme="majorBidi"/>
          <w:sz w:val="20"/>
          <w:szCs w:val="20"/>
        </w:rPr>
        <w:t xml:space="preserve"> to obtain their valuable assessments and </w:t>
      </w:r>
      <w:r w:rsidR="00337176" w:rsidRPr="00BA7700">
        <w:rPr>
          <w:rFonts w:asciiTheme="majorBidi" w:hAnsiTheme="majorBidi" w:cstheme="majorBidi"/>
          <w:sz w:val="20"/>
          <w:szCs w:val="20"/>
        </w:rPr>
        <w:t>"</w:t>
      </w:r>
      <w:r w:rsidRPr="00BA7700">
        <w:rPr>
          <w:rFonts w:asciiTheme="majorBidi" w:hAnsiTheme="majorBidi" w:cstheme="majorBidi"/>
          <w:sz w:val="20"/>
          <w:szCs w:val="20"/>
        </w:rPr>
        <w:t>comments or suggestions for further improvement</w:t>
      </w:r>
      <w:r w:rsidR="00337176" w:rsidRPr="00BA7700">
        <w:rPr>
          <w:rFonts w:asciiTheme="majorBidi" w:hAnsiTheme="majorBidi" w:cstheme="majorBidi"/>
          <w:sz w:val="20"/>
          <w:szCs w:val="20"/>
        </w:rPr>
        <w:t>"</w:t>
      </w:r>
      <w:r w:rsidRPr="00BA7700">
        <w:rPr>
          <w:rFonts w:asciiTheme="majorBidi" w:hAnsiTheme="majorBidi" w:cstheme="majorBidi"/>
          <w:sz w:val="20"/>
          <w:szCs w:val="20"/>
        </w:rPr>
        <w:t xml:space="preserve"> and validation.</w:t>
      </w:r>
      <w:r w:rsidR="00142517">
        <w:rPr>
          <w:rFonts w:asciiTheme="majorBidi" w:hAnsiTheme="majorBidi" w:cstheme="majorBidi"/>
          <w:sz w:val="20"/>
          <w:szCs w:val="20"/>
        </w:rPr>
        <w:t xml:space="preserve"> A</w:t>
      </w:r>
      <w:r w:rsidRPr="00D504B2">
        <w:rPr>
          <w:rFonts w:asciiTheme="majorBidi" w:hAnsiTheme="majorBidi" w:cstheme="majorBidi"/>
          <w:sz w:val="20"/>
          <w:szCs w:val="20"/>
        </w:rPr>
        <w:t xml:space="preserve"> guidebook was </w:t>
      </w:r>
      <w:r w:rsidR="00BA7700">
        <w:rPr>
          <w:rFonts w:asciiTheme="majorBidi" w:hAnsiTheme="majorBidi" w:cstheme="majorBidi"/>
          <w:sz w:val="20"/>
          <w:szCs w:val="20"/>
        </w:rPr>
        <w:lastRenderedPageBreak/>
        <w:t>distributed to all the DRI and DVW participating actors to en</w:t>
      </w:r>
      <w:r w:rsidRPr="00D504B2">
        <w:rPr>
          <w:rFonts w:asciiTheme="majorBidi" w:hAnsiTheme="majorBidi" w:cstheme="majorBidi"/>
          <w:sz w:val="20"/>
          <w:szCs w:val="20"/>
        </w:rPr>
        <w:t xml:space="preserve">sure informed participation. </w:t>
      </w:r>
      <w:r w:rsidR="00BA7700">
        <w:rPr>
          <w:rFonts w:asciiTheme="majorBidi" w:hAnsiTheme="majorBidi" w:cstheme="majorBidi"/>
          <w:sz w:val="20"/>
          <w:szCs w:val="20"/>
        </w:rPr>
        <w:t>Figure 4 below depicts an exampl</w:t>
      </w:r>
      <w:r w:rsidR="005A53A3">
        <w:rPr>
          <w:rFonts w:asciiTheme="majorBidi" w:hAnsiTheme="majorBidi" w:cstheme="majorBidi"/>
          <w:sz w:val="20"/>
          <w:szCs w:val="20"/>
        </w:rPr>
        <w:t>e</w:t>
      </w:r>
      <w:r w:rsidR="00BA7700">
        <w:rPr>
          <w:rFonts w:asciiTheme="majorBidi" w:hAnsiTheme="majorBidi" w:cstheme="majorBidi"/>
          <w:sz w:val="20"/>
          <w:szCs w:val="20"/>
        </w:rPr>
        <w:t xml:space="preserve"> of the demonstrated artefact of the designed ecosystem. </w:t>
      </w:r>
      <w:r w:rsidR="005A53A3">
        <w:rPr>
          <w:rFonts w:asciiTheme="majorBidi" w:hAnsiTheme="majorBidi" w:cstheme="majorBidi"/>
          <w:sz w:val="20"/>
          <w:szCs w:val="20"/>
        </w:rPr>
        <w:t>The r</w:t>
      </w:r>
      <w:r w:rsidR="00BA7700">
        <w:rPr>
          <w:rFonts w:asciiTheme="majorBidi" w:hAnsiTheme="majorBidi" w:cstheme="majorBidi"/>
          <w:sz w:val="20"/>
          <w:szCs w:val="20"/>
        </w:rPr>
        <w:t xml:space="preserve">est of the artefact and sub-artefacts are appended </w:t>
      </w:r>
      <w:r w:rsidR="00652069">
        <w:rPr>
          <w:rFonts w:asciiTheme="majorBidi" w:hAnsiTheme="majorBidi" w:cstheme="majorBidi"/>
          <w:sz w:val="20"/>
          <w:szCs w:val="20"/>
        </w:rPr>
        <w:t>as</w:t>
      </w:r>
      <w:r w:rsidR="00BA7700">
        <w:rPr>
          <w:rFonts w:asciiTheme="majorBidi" w:hAnsiTheme="majorBidi" w:cstheme="majorBidi"/>
          <w:sz w:val="20"/>
          <w:szCs w:val="20"/>
        </w:rPr>
        <w:t xml:space="preserve"> </w:t>
      </w:r>
      <w:r w:rsidR="00652069">
        <w:rPr>
          <w:rFonts w:asciiTheme="majorBidi" w:hAnsiTheme="majorBidi" w:cstheme="majorBidi"/>
          <w:sz w:val="20"/>
          <w:szCs w:val="20"/>
        </w:rPr>
        <w:t>annex</w:t>
      </w:r>
      <w:r w:rsidR="00D949CD">
        <w:rPr>
          <w:rFonts w:asciiTheme="majorBidi" w:hAnsiTheme="majorBidi" w:cstheme="majorBidi"/>
          <w:sz w:val="20"/>
          <w:szCs w:val="20"/>
        </w:rPr>
        <w:t>e</w:t>
      </w:r>
      <w:r w:rsidR="00BA7700">
        <w:rPr>
          <w:rFonts w:asciiTheme="majorBidi" w:hAnsiTheme="majorBidi" w:cstheme="majorBidi"/>
          <w:sz w:val="20"/>
          <w:szCs w:val="20"/>
        </w:rPr>
        <w:t xml:space="preserve"> A.</w:t>
      </w:r>
    </w:p>
    <w:p w14:paraId="0B8BAD74" w14:textId="77777777" w:rsidR="00142517" w:rsidRPr="00142517" w:rsidRDefault="00142517" w:rsidP="00142517">
      <w:pPr>
        <w:spacing w:after="0" w:line="240" w:lineRule="auto"/>
        <w:jc w:val="both"/>
        <w:rPr>
          <w:rFonts w:asciiTheme="majorBidi" w:hAnsiTheme="majorBidi" w:cstheme="majorBidi"/>
          <w:sz w:val="8"/>
          <w:szCs w:val="8"/>
        </w:rPr>
      </w:pPr>
    </w:p>
    <w:p w14:paraId="63836606" w14:textId="6B8547D0" w:rsidR="005A53A3" w:rsidRDefault="005A53A3" w:rsidP="005A53A3">
      <w:pPr>
        <w:spacing w:after="0" w:line="240" w:lineRule="auto"/>
        <w:jc w:val="both"/>
        <w:rPr>
          <w:rFonts w:asciiTheme="majorBidi" w:hAnsiTheme="majorBidi" w:cstheme="majorBidi"/>
          <w:sz w:val="20"/>
          <w:szCs w:val="20"/>
        </w:rPr>
      </w:pPr>
      <w:r w:rsidRPr="00293E1B">
        <w:rPr>
          <w:iCs/>
          <w:noProof/>
          <w:sz w:val="24"/>
          <w:szCs w:val="24"/>
        </w:rPr>
        <w:drawing>
          <wp:inline distT="0" distB="0" distL="0" distR="0" wp14:anchorId="6C4F8427" wp14:editId="1C706D82">
            <wp:extent cx="6134970" cy="335824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4699" cy="3390939"/>
                    </a:xfrm>
                    <a:prstGeom prst="rect">
                      <a:avLst/>
                    </a:prstGeom>
                    <a:noFill/>
                    <a:ln>
                      <a:noFill/>
                    </a:ln>
                  </pic:spPr>
                </pic:pic>
              </a:graphicData>
            </a:graphic>
          </wp:inline>
        </w:drawing>
      </w:r>
    </w:p>
    <w:p w14:paraId="4AFE28CF" w14:textId="77777777" w:rsidR="00B54C1D" w:rsidRPr="00B54C1D" w:rsidRDefault="00B54C1D" w:rsidP="00B1393E">
      <w:pPr>
        <w:spacing w:after="0" w:line="240" w:lineRule="auto"/>
        <w:jc w:val="center"/>
        <w:rPr>
          <w:rFonts w:asciiTheme="majorBidi" w:hAnsiTheme="majorBidi" w:cstheme="majorBidi"/>
          <w:sz w:val="10"/>
          <w:szCs w:val="10"/>
        </w:rPr>
      </w:pPr>
    </w:p>
    <w:p w14:paraId="60E72EE1" w14:textId="3DED12FC" w:rsidR="005A53A3" w:rsidRDefault="005A53A3" w:rsidP="00B1393E">
      <w:pPr>
        <w:spacing w:after="0" w:line="240" w:lineRule="auto"/>
        <w:jc w:val="center"/>
        <w:rPr>
          <w:rFonts w:asciiTheme="majorBidi" w:hAnsiTheme="majorBidi" w:cstheme="majorBidi"/>
          <w:sz w:val="20"/>
          <w:szCs w:val="20"/>
        </w:rPr>
      </w:pPr>
      <w:r w:rsidRPr="00637F58">
        <w:rPr>
          <w:rFonts w:asciiTheme="majorBidi" w:hAnsiTheme="majorBidi" w:cstheme="majorBidi"/>
          <w:sz w:val="20"/>
          <w:szCs w:val="20"/>
        </w:rPr>
        <w:t xml:space="preserve">Figure 4: </w:t>
      </w:r>
      <w:r w:rsidR="00637F58" w:rsidRPr="00637F58">
        <w:rPr>
          <w:rFonts w:asciiTheme="majorBidi" w:hAnsiTheme="majorBidi" w:cstheme="majorBidi"/>
          <w:sz w:val="20"/>
          <w:szCs w:val="20"/>
        </w:rPr>
        <w:t>Use Case Diagram</w:t>
      </w:r>
      <w:r w:rsidR="00D719F6">
        <w:rPr>
          <w:rFonts w:asciiTheme="majorBidi" w:hAnsiTheme="majorBidi" w:cstheme="majorBidi"/>
          <w:sz w:val="20"/>
          <w:szCs w:val="20"/>
        </w:rPr>
        <w:t xml:space="preserve"> </w:t>
      </w:r>
      <w:r w:rsidR="00637F58" w:rsidRPr="00637F58">
        <w:rPr>
          <w:rFonts w:asciiTheme="majorBidi" w:hAnsiTheme="majorBidi" w:cstheme="majorBidi"/>
          <w:sz w:val="20"/>
          <w:szCs w:val="20"/>
        </w:rPr>
        <w:t>- PHC Service Provider, Policy Makers, Regulator, Payor, and Technology Vendor</w:t>
      </w:r>
      <w:r w:rsidRPr="00637F58">
        <w:rPr>
          <w:rFonts w:asciiTheme="majorBidi" w:hAnsiTheme="majorBidi" w:cstheme="majorBidi"/>
          <w:sz w:val="20"/>
          <w:szCs w:val="20"/>
        </w:rPr>
        <w:t>.</w:t>
      </w:r>
    </w:p>
    <w:p w14:paraId="62A60559" w14:textId="77777777" w:rsidR="00B1393E" w:rsidRPr="00B1393E" w:rsidRDefault="00B1393E" w:rsidP="00B1393E">
      <w:pPr>
        <w:spacing w:after="0" w:line="240" w:lineRule="auto"/>
        <w:jc w:val="center"/>
        <w:rPr>
          <w:rFonts w:asciiTheme="majorBidi" w:hAnsiTheme="majorBidi" w:cstheme="majorBidi"/>
          <w:sz w:val="6"/>
          <w:szCs w:val="6"/>
        </w:rPr>
      </w:pPr>
    </w:p>
    <w:p w14:paraId="1EB2CA92" w14:textId="67955BAD" w:rsidR="00D504B2" w:rsidRPr="00D504B2" w:rsidRDefault="00BA7700" w:rsidP="00637F58">
      <w:pPr>
        <w:spacing w:after="0" w:line="240" w:lineRule="auto"/>
        <w:jc w:val="both"/>
        <w:rPr>
          <w:rFonts w:asciiTheme="majorBidi" w:hAnsiTheme="majorBidi" w:cstheme="majorBidi"/>
          <w:b/>
          <w:i/>
          <w:sz w:val="20"/>
          <w:szCs w:val="20"/>
        </w:rPr>
      </w:pPr>
      <w:r w:rsidRPr="00BA7700">
        <w:rPr>
          <w:rFonts w:asciiTheme="majorBidi" w:hAnsiTheme="majorBidi" w:cstheme="majorBidi"/>
          <w:b/>
          <w:i/>
          <w:sz w:val="20"/>
          <w:szCs w:val="20"/>
        </w:rPr>
        <w:t xml:space="preserve">Step </w:t>
      </w:r>
      <w:r>
        <w:rPr>
          <w:rFonts w:asciiTheme="majorBidi" w:hAnsiTheme="majorBidi" w:cstheme="majorBidi"/>
          <w:b/>
          <w:i/>
          <w:sz w:val="20"/>
          <w:szCs w:val="20"/>
        </w:rPr>
        <w:t>6</w:t>
      </w:r>
      <w:r w:rsidRPr="00BA7700">
        <w:rPr>
          <w:rFonts w:asciiTheme="majorBidi" w:hAnsiTheme="majorBidi" w:cstheme="majorBidi"/>
          <w:b/>
          <w:i/>
          <w:sz w:val="20"/>
          <w:szCs w:val="20"/>
        </w:rPr>
        <w:t xml:space="preserve">: </w:t>
      </w:r>
      <w:r w:rsidR="00D504B2" w:rsidRPr="00D504B2">
        <w:rPr>
          <w:rFonts w:asciiTheme="majorBidi" w:hAnsiTheme="majorBidi" w:cstheme="majorBidi"/>
          <w:b/>
          <w:i/>
          <w:sz w:val="20"/>
          <w:szCs w:val="20"/>
        </w:rPr>
        <w:t xml:space="preserve">Defining Changes that Overcome the Problematic Situation and may be Feasibly Implemented as a Solution </w:t>
      </w:r>
    </w:p>
    <w:bookmarkEnd w:id="6"/>
    <w:p w14:paraId="5B4F546C" w14:textId="5EBCA816" w:rsidR="00D504B2" w:rsidRDefault="00D504B2" w:rsidP="00B1393E">
      <w:pPr>
        <w:spacing w:after="0" w:line="240" w:lineRule="auto"/>
        <w:jc w:val="both"/>
        <w:rPr>
          <w:rFonts w:asciiTheme="majorBidi" w:hAnsiTheme="majorBidi" w:cstheme="majorBidi"/>
          <w:sz w:val="20"/>
          <w:szCs w:val="20"/>
        </w:rPr>
      </w:pPr>
      <w:r w:rsidRPr="00D504B2">
        <w:rPr>
          <w:rFonts w:asciiTheme="majorBidi" w:hAnsiTheme="majorBidi" w:cstheme="majorBidi"/>
          <w:sz w:val="20"/>
          <w:szCs w:val="20"/>
        </w:rPr>
        <w:t>The data collected in the DRIs were screened in multiple-tier and evaluated using an assessment matrix, purposed to assess the technological feasibility, economic viability, and social desirability of the designed ecosystem with literature support. The evaluation outcome was further adopted for the artefacts</w:t>
      </w:r>
      <w:r w:rsidR="00337176">
        <w:rPr>
          <w:rFonts w:asciiTheme="majorBidi" w:hAnsiTheme="majorBidi" w:cstheme="majorBidi"/>
          <w:sz w:val="20"/>
          <w:szCs w:val="20"/>
        </w:rPr>
        <w:t>'</w:t>
      </w:r>
      <w:r w:rsidRPr="00D504B2">
        <w:rPr>
          <w:rFonts w:asciiTheme="majorBidi" w:hAnsiTheme="majorBidi" w:cstheme="majorBidi"/>
          <w:sz w:val="20"/>
          <w:szCs w:val="20"/>
        </w:rPr>
        <w:t xml:space="preserve"> refinement, either by revisiting the previous steps</w:t>
      </w:r>
      <w:r w:rsidR="00BA7700">
        <w:rPr>
          <w:rFonts w:asciiTheme="majorBidi" w:hAnsiTheme="majorBidi" w:cstheme="majorBidi"/>
          <w:sz w:val="20"/>
          <w:szCs w:val="20"/>
        </w:rPr>
        <w:t>, through modification or implication on the designed artefacts, or by reserving the evaluation outcome for post-</w:t>
      </w:r>
      <w:r w:rsidRPr="00D504B2">
        <w:rPr>
          <w:rFonts w:asciiTheme="majorBidi" w:hAnsiTheme="majorBidi" w:cstheme="majorBidi"/>
          <w:sz w:val="20"/>
          <w:szCs w:val="20"/>
        </w:rPr>
        <w:t xml:space="preserve">system implementation. After multi-tier iteration for refinement, the designed artefacts were further demonstrated in the DVW, where a Delphi panel of experienced healthcare practitioners (actors) served as validators. Finally, the validated set of designed artefacts is now available for action to improve the current PHC </w:t>
      </w:r>
      <w:r w:rsidR="00BA7700">
        <w:rPr>
          <w:rFonts w:asciiTheme="majorBidi" w:hAnsiTheme="majorBidi" w:cstheme="majorBidi"/>
          <w:sz w:val="20"/>
          <w:szCs w:val="20"/>
        </w:rPr>
        <w:t xml:space="preserve">service </w:t>
      </w:r>
      <w:r w:rsidRPr="00D504B2">
        <w:rPr>
          <w:rFonts w:asciiTheme="majorBidi" w:hAnsiTheme="majorBidi" w:cstheme="majorBidi"/>
          <w:sz w:val="20"/>
          <w:szCs w:val="20"/>
        </w:rPr>
        <w:t>context.</w:t>
      </w:r>
    </w:p>
    <w:p w14:paraId="06894510" w14:textId="77777777" w:rsidR="00B1393E" w:rsidRPr="00B1393E" w:rsidRDefault="00B1393E" w:rsidP="00B1393E">
      <w:pPr>
        <w:spacing w:after="0" w:line="240" w:lineRule="auto"/>
        <w:jc w:val="both"/>
        <w:rPr>
          <w:rFonts w:asciiTheme="majorBidi" w:hAnsiTheme="majorBidi" w:cstheme="majorBidi"/>
          <w:sz w:val="8"/>
          <w:szCs w:val="8"/>
        </w:rPr>
      </w:pPr>
    </w:p>
    <w:p w14:paraId="0D66A727" w14:textId="256BFB0C" w:rsidR="00D504B2" w:rsidRPr="00D504B2" w:rsidRDefault="00BA7700" w:rsidP="00BA7700">
      <w:pPr>
        <w:pStyle w:val="Footer"/>
        <w:jc w:val="both"/>
        <w:rPr>
          <w:rFonts w:asciiTheme="majorBidi" w:hAnsiTheme="majorBidi" w:cstheme="majorBidi"/>
          <w:b/>
          <w:i/>
          <w:sz w:val="20"/>
          <w:szCs w:val="20"/>
        </w:rPr>
      </w:pPr>
      <w:r>
        <w:rPr>
          <w:rFonts w:asciiTheme="majorBidi" w:hAnsiTheme="majorBidi" w:cstheme="majorBidi"/>
          <w:b/>
          <w:i/>
          <w:sz w:val="20"/>
          <w:szCs w:val="20"/>
        </w:rPr>
        <w:t xml:space="preserve">Step 7: </w:t>
      </w:r>
      <w:r w:rsidR="00D504B2" w:rsidRPr="00D504B2">
        <w:rPr>
          <w:rFonts w:asciiTheme="majorBidi" w:hAnsiTheme="majorBidi" w:cstheme="majorBidi"/>
          <w:b/>
          <w:i/>
          <w:sz w:val="20"/>
          <w:szCs w:val="20"/>
        </w:rPr>
        <w:t>Taking Action to Improve the Real-World Situation of PHC</w:t>
      </w:r>
    </w:p>
    <w:p w14:paraId="4A54E49F" w14:textId="52B3A5FC" w:rsidR="00D504B2" w:rsidRDefault="00D504B2" w:rsidP="00142517">
      <w:pPr>
        <w:spacing w:after="0" w:line="240" w:lineRule="auto"/>
        <w:jc w:val="both"/>
        <w:rPr>
          <w:rFonts w:asciiTheme="majorBidi" w:hAnsiTheme="majorBidi" w:cstheme="majorBidi"/>
          <w:sz w:val="20"/>
          <w:szCs w:val="20"/>
        </w:rPr>
      </w:pPr>
      <w:r w:rsidRPr="00D504B2">
        <w:rPr>
          <w:rFonts w:asciiTheme="majorBidi" w:hAnsiTheme="majorBidi" w:cstheme="majorBidi"/>
          <w:sz w:val="20"/>
          <w:szCs w:val="20"/>
        </w:rPr>
        <w:t>This step either fulfils the methodological cycle or introduces a new cycle for further research. For the exploratory research undertaken in this thesis, the artefacts of the PHC ecosystem were developed upon rigorous execution of SSM steps, ensuring best-practice system design principles</w:t>
      </w:r>
      <w:r w:rsidR="00142517">
        <w:rPr>
          <w:rFonts w:asciiTheme="majorBidi" w:hAnsiTheme="majorBidi" w:cstheme="majorBidi"/>
          <w:sz w:val="20"/>
          <w:szCs w:val="20"/>
        </w:rPr>
        <w:t>,</w:t>
      </w:r>
      <w:r w:rsidRPr="00D504B2">
        <w:rPr>
          <w:rFonts w:asciiTheme="majorBidi" w:hAnsiTheme="majorBidi" w:cstheme="majorBidi"/>
          <w:sz w:val="20"/>
          <w:szCs w:val="20"/>
        </w:rPr>
        <w:t xml:space="preserve"> rules</w:t>
      </w:r>
      <w:r w:rsidR="00142517">
        <w:rPr>
          <w:rFonts w:asciiTheme="majorBidi" w:hAnsiTheme="majorBidi" w:cstheme="majorBidi"/>
          <w:sz w:val="20"/>
          <w:szCs w:val="20"/>
        </w:rPr>
        <w:t>,</w:t>
      </w:r>
      <w:r w:rsidRPr="00D504B2">
        <w:rPr>
          <w:rFonts w:asciiTheme="majorBidi" w:hAnsiTheme="majorBidi" w:cstheme="majorBidi"/>
          <w:sz w:val="20"/>
          <w:szCs w:val="20"/>
        </w:rPr>
        <w:t xml:space="preserve"> </w:t>
      </w:r>
      <w:r w:rsidR="00142517">
        <w:rPr>
          <w:rFonts w:asciiTheme="majorBidi" w:hAnsiTheme="majorBidi" w:cstheme="majorBidi"/>
          <w:sz w:val="20"/>
          <w:szCs w:val="20"/>
        </w:rPr>
        <w:t xml:space="preserve">and </w:t>
      </w:r>
      <w:r w:rsidRPr="00D504B2">
        <w:rPr>
          <w:rFonts w:asciiTheme="majorBidi" w:hAnsiTheme="majorBidi" w:cstheme="majorBidi"/>
          <w:sz w:val="20"/>
          <w:szCs w:val="20"/>
        </w:rPr>
        <w:t>trust for its users. It is expected that the real-world implementation of this PHC ecosystem in the current lower adoption context will improve stakeholders' adoption of PHC by ensuring active user participation and engagement with the ecosystem.</w:t>
      </w:r>
    </w:p>
    <w:p w14:paraId="72870BDD" w14:textId="0AC90CCA" w:rsidR="00CB53D8" w:rsidRDefault="00902D74" w:rsidP="00902D74">
      <w:pPr>
        <w:pStyle w:val="Heading1"/>
        <w:spacing w:before="0" w:beforeAutospacing="0" w:after="0" w:afterAutospacing="0"/>
        <w:jc w:val="center"/>
        <w:rPr>
          <w:rFonts w:asciiTheme="majorBidi" w:hAnsiTheme="majorBidi" w:cstheme="majorBidi"/>
          <w:sz w:val="20"/>
          <w:szCs w:val="20"/>
        </w:rPr>
      </w:pPr>
      <w:r>
        <w:rPr>
          <w:rFonts w:asciiTheme="majorBidi" w:hAnsiTheme="majorBidi" w:cstheme="majorBidi"/>
          <w:sz w:val="20"/>
          <w:szCs w:val="20"/>
        </w:rPr>
        <w:t>FINDINGS AND CONCLUDING REMARKS</w:t>
      </w:r>
    </w:p>
    <w:p w14:paraId="7A95215D" w14:textId="75BCC779" w:rsidR="00637F58" w:rsidRDefault="00637F58" w:rsidP="00142517">
      <w:pPr>
        <w:spacing w:after="0" w:line="240" w:lineRule="auto"/>
        <w:jc w:val="both"/>
        <w:rPr>
          <w:rFonts w:asciiTheme="majorBidi" w:hAnsiTheme="majorBidi" w:cstheme="majorBidi"/>
          <w:sz w:val="20"/>
          <w:szCs w:val="20"/>
        </w:rPr>
      </w:pPr>
      <w:r w:rsidRPr="00637F58">
        <w:rPr>
          <w:rFonts w:asciiTheme="majorBidi" w:hAnsiTheme="majorBidi" w:cstheme="majorBidi"/>
          <w:sz w:val="20"/>
          <w:szCs w:val="20"/>
        </w:rPr>
        <w:t>To establish an understanding of the perceived viewpoints of the participating healthcare actors and their interpreted, thematic relationship with the adopted system design principles and rules</w:t>
      </w:r>
      <w:r>
        <w:rPr>
          <w:rFonts w:asciiTheme="majorBidi" w:hAnsiTheme="majorBidi" w:cstheme="majorBidi"/>
          <w:sz w:val="20"/>
          <w:szCs w:val="20"/>
        </w:rPr>
        <w:t xml:space="preserve"> for the PHC ecosystem design</w:t>
      </w:r>
      <w:r w:rsidRPr="00637F58">
        <w:rPr>
          <w:rFonts w:asciiTheme="majorBidi" w:hAnsiTheme="majorBidi" w:cstheme="majorBidi"/>
          <w:sz w:val="20"/>
          <w:szCs w:val="20"/>
        </w:rPr>
        <w:t>, a thematic analysis (Braun &amp; Clarke, 2006) of the data collected was determined.</w:t>
      </w:r>
      <w:r>
        <w:rPr>
          <w:rFonts w:asciiTheme="majorBidi" w:hAnsiTheme="majorBidi" w:cstheme="majorBidi"/>
          <w:sz w:val="20"/>
          <w:szCs w:val="20"/>
        </w:rPr>
        <w:t xml:space="preserve"> </w:t>
      </w:r>
      <w:r w:rsidR="00902D74" w:rsidRPr="00E21209">
        <w:rPr>
          <w:rFonts w:asciiTheme="majorBidi" w:hAnsiTheme="majorBidi" w:cstheme="majorBidi"/>
          <w:sz w:val="20"/>
          <w:szCs w:val="20"/>
        </w:rPr>
        <w:t>The</w:t>
      </w:r>
      <w:r w:rsidR="00902D74" w:rsidRPr="00E21209">
        <w:rPr>
          <w:rFonts w:asciiTheme="majorBidi" w:hAnsiTheme="majorBidi" w:cstheme="majorBidi"/>
          <w:b/>
          <w:bCs/>
          <w:sz w:val="20"/>
          <w:szCs w:val="20"/>
        </w:rPr>
        <w:t xml:space="preserve"> </w:t>
      </w:r>
      <w:r w:rsidR="00902D74" w:rsidRPr="00E21209">
        <w:rPr>
          <w:rFonts w:asciiTheme="majorBidi" w:hAnsiTheme="majorBidi" w:cstheme="majorBidi"/>
          <w:sz w:val="20"/>
          <w:szCs w:val="20"/>
        </w:rPr>
        <w:t xml:space="preserve">participating actors </w:t>
      </w:r>
      <w:r>
        <w:rPr>
          <w:rFonts w:asciiTheme="majorBidi" w:hAnsiTheme="majorBidi" w:cstheme="majorBidi"/>
          <w:sz w:val="20"/>
          <w:szCs w:val="20"/>
        </w:rPr>
        <w:t>with provider background</w:t>
      </w:r>
      <w:r w:rsidR="00142517">
        <w:rPr>
          <w:rFonts w:asciiTheme="majorBidi" w:hAnsiTheme="majorBidi" w:cstheme="majorBidi"/>
          <w:sz w:val="20"/>
          <w:szCs w:val="20"/>
        </w:rPr>
        <w:t>s</w:t>
      </w:r>
      <w:r>
        <w:rPr>
          <w:rFonts w:asciiTheme="majorBidi" w:hAnsiTheme="majorBidi" w:cstheme="majorBidi"/>
          <w:sz w:val="20"/>
          <w:szCs w:val="20"/>
        </w:rPr>
        <w:t xml:space="preserve"> </w:t>
      </w:r>
      <w:r w:rsidR="00902D74" w:rsidRPr="00E21209">
        <w:rPr>
          <w:rFonts w:asciiTheme="majorBidi" w:hAnsiTheme="majorBidi" w:cstheme="majorBidi"/>
          <w:sz w:val="20"/>
          <w:szCs w:val="20"/>
        </w:rPr>
        <w:t>shared their viewpoints on interoperability, privacy and security, user-centricity, transparency, biosensor device, and practitioner performance monitoring. The actors demand a robust application interface (API) for seamless health data interoperability, regardless of location, service provider, and biosensor device used by the patients. The actors acknowledge the need for security by design and privacy by default in system design, development, and operations. They also suggest regular privacy and security update to reduce data malpractices. For transparency, they support patient-controlled health data usage and suggest digital tracking feature(s) to ensure transparent data flow in the system.</w:t>
      </w:r>
      <w:r w:rsidR="00142517">
        <w:rPr>
          <w:rFonts w:asciiTheme="majorBidi" w:hAnsiTheme="majorBidi" w:cstheme="majorBidi"/>
          <w:sz w:val="20"/>
          <w:szCs w:val="20"/>
        </w:rPr>
        <w:t xml:space="preserve"> Participants</w:t>
      </w:r>
      <w:r w:rsidR="00902D74" w:rsidRPr="00E21209">
        <w:rPr>
          <w:rFonts w:asciiTheme="majorBidi" w:hAnsiTheme="majorBidi" w:cstheme="majorBidi"/>
          <w:sz w:val="20"/>
          <w:szCs w:val="20"/>
        </w:rPr>
        <w:t xml:space="preserve"> also placed the need for practitioners</w:t>
      </w:r>
      <w:r w:rsidR="00337176">
        <w:rPr>
          <w:rFonts w:asciiTheme="majorBidi" w:hAnsiTheme="majorBidi" w:cstheme="majorBidi"/>
          <w:sz w:val="20"/>
          <w:szCs w:val="20"/>
        </w:rPr>
        <w:t>'</w:t>
      </w:r>
      <w:r w:rsidR="00902D74" w:rsidRPr="00E21209">
        <w:rPr>
          <w:rFonts w:asciiTheme="majorBidi" w:hAnsiTheme="majorBidi" w:cstheme="majorBidi"/>
          <w:sz w:val="20"/>
          <w:szCs w:val="20"/>
        </w:rPr>
        <w:t xml:space="preserve"> performance evaluation and demanded such an assessment mechanism in the ecosystem. Regarding user-centricity, the actors recommend simple, intuitive application interfaces that are important to address the patient</w:t>
      </w:r>
      <w:r w:rsidR="00142517">
        <w:rPr>
          <w:rFonts w:asciiTheme="majorBidi" w:hAnsiTheme="majorBidi" w:cstheme="majorBidi"/>
          <w:sz w:val="20"/>
          <w:szCs w:val="20"/>
        </w:rPr>
        <w:t>'s</w:t>
      </w:r>
      <w:r w:rsidR="00902D74" w:rsidRPr="00E21209">
        <w:rPr>
          <w:rFonts w:asciiTheme="majorBidi" w:hAnsiTheme="majorBidi" w:cstheme="majorBidi"/>
          <w:sz w:val="20"/>
          <w:szCs w:val="20"/>
        </w:rPr>
        <w:t xml:space="preserve"> needs. Besides, the participating actors also inquired about the potential of contemporary biosensor devices in the designed ecosystem.</w:t>
      </w:r>
    </w:p>
    <w:p w14:paraId="6C6AA653" w14:textId="77777777" w:rsidR="00637F58" w:rsidRPr="00142517" w:rsidRDefault="00637F58" w:rsidP="00637F58">
      <w:pPr>
        <w:spacing w:after="0" w:line="240" w:lineRule="auto"/>
        <w:jc w:val="both"/>
        <w:rPr>
          <w:rFonts w:asciiTheme="majorBidi" w:hAnsiTheme="majorBidi" w:cstheme="majorBidi"/>
          <w:sz w:val="14"/>
          <w:szCs w:val="14"/>
        </w:rPr>
      </w:pPr>
    </w:p>
    <w:p w14:paraId="018A1681" w14:textId="3B6E4C30" w:rsidR="005458B4" w:rsidRDefault="00637F58" w:rsidP="00637F58">
      <w:pPr>
        <w:spacing w:after="0" w:line="240" w:lineRule="auto"/>
        <w:jc w:val="both"/>
        <w:rPr>
          <w:rFonts w:asciiTheme="majorBidi" w:hAnsiTheme="majorBidi" w:cstheme="majorBidi"/>
          <w:sz w:val="20"/>
          <w:szCs w:val="20"/>
        </w:rPr>
      </w:pPr>
      <w:r>
        <w:rPr>
          <w:rFonts w:asciiTheme="majorBidi" w:hAnsiTheme="majorBidi" w:cstheme="majorBidi"/>
          <w:sz w:val="20"/>
          <w:szCs w:val="20"/>
        </w:rPr>
        <w:t>P</w:t>
      </w:r>
      <w:r w:rsidR="005458B4" w:rsidRPr="005458B4">
        <w:rPr>
          <w:rFonts w:asciiTheme="majorBidi" w:hAnsiTheme="majorBidi" w:cstheme="majorBidi"/>
          <w:sz w:val="20"/>
          <w:szCs w:val="20"/>
        </w:rPr>
        <w:t xml:space="preserve">articipating </w:t>
      </w:r>
      <w:r>
        <w:rPr>
          <w:rFonts w:asciiTheme="majorBidi" w:hAnsiTheme="majorBidi" w:cstheme="majorBidi"/>
          <w:sz w:val="20"/>
          <w:szCs w:val="20"/>
        </w:rPr>
        <w:t xml:space="preserve">researchers </w:t>
      </w:r>
      <w:r w:rsidR="005458B4" w:rsidRPr="005458B4">
        <w:rPr>
          <w:rFonts w:asciiTheme="majorBidi" w:hAnsiTheme="majorBidi" w:cstheme="majorBidi"/>
          <w:sz w:val="20"/>
          <w:szCs w:val="20"/>
        </w:rPr>
        <w:t>shared viewpoints on user-centricity, privacy and security, interoperability, and sustainability. Regarding user-centricity, they suggest simple, user-friendly, modifiable, and ubiquitous access for the users. In addition, they also demand a sentiment analysis mechanism to understand the patient</w:t>
      </w:r>
      <w:r w:rsidR="00142517">
        <w:rPr>
          <w:rFonts w:asciiTheme="majorBidi" w:hAnsiTheme="majorBidi" w:cstheme="majorBidi"/>
          <w:sz w:val="20"/>
          <w:szCs w:val="20"/>
        </w:rPr>
        <w:t>'s</w:t>
      </w:r>
      <w:r w:rsidR="005458B4" w:rsidRPr="005458B4">
        <w:rPr>
          <w:rFonts w:asciiTheme="majorBidi" w:hAnsiTheme="majorBidi" w:cstheme="majorBidi"/>
          <w:sz w:val="20"/>
          <w:szCs w:val="20"/>
        </w:rPr>
        <w:t xml:space="preserve"> mental state before visuali</w:t>
      </w:r>
      <w:r w:rsidR="00D659E6">
        <w:rPr>
          <w:rFonts w:asciiTheme="majorBidi" w:hAnsiTheme="majorBidi" w:cstheme="majorBidi"/>
          <w:sz w:val="20"/>
          <w:szCs w:val="20"/>
        </w:rPr>
        <w:t>s</w:t>
      </w:r>
      <w:r w:rsidR="005458B4" w:rsidRPr="005458B4">
        <w:rPr>
          <w:rFonts w:asciiTheme="majorBidi" w:hAnsiTheme="majorBidi" w:cstheme="majorBidi"/>
          <w:sz w:val="20"/>
          <w:szCs w:val="20"/>
        </w:rPr>
        <w:t>ing sophisticated, emotion</w:t>
      </w:r>
      <w:r w:rsidR="00142517">
        <w:rPr>
          <w:rFonts w:asciiTheme="majorBidi" w:hAnsiTheme="majorBidi" w:cstheme="majorBidi"/>
          <w:sz w:val="20"/>
          <w:szCs w:val="20"/>
        </w:rPr>
        <w:t>-</w:t>
      </w:r>
      <w:r w:rsidR="005458B4" w:rsidRPr="005458B4">
        <w:rPr>
          <w:rFonts w:asciiTheme="majorBidi" w:hAnsiTheme="majorBidi" w:cstheme="majorBidi"/>
          <w:sz w:val="20"/>
          <w:szCs w:val="20"/>
        </w:rPr>
        <w:t xml:space="preserve">sensitive health data to the patients, which is beyond the scope of this research and needs further research attention. They suggest implementing a multi-factor authentication mechanism for privacy and security to ensure robust security for the ecosystem and flexible access for the </w:t>
      </w:r>
      <w:r w:rsidR="00752787">
        <w:rPr>
          <w:rFonts w:asciiTheme="majorBidi" w:hAnsiTheme="majorBidi" w:cstheme="majorBidi"/>
          <w:sz w:val="20"/>
          <w:szCs w:val="20"/>
        </w:rPr>
        <w:t>U</w:t>
      </w:r>
      <w:r w:rsidR="005458B4" w:rsidRPr="005458B4">
        <w:rPr>
          <w:rFonts w:asciiTheme="majorBidi" w:hAnsiTheme="majorBidi" w:cstheme="majorBidi"/>
          <w:sz w:val="20"/>
          <w:szCs w:val="20"/>
        </w:rPr>
        <w:t>ser. Moreover, they acknowledged the use of Blockchain in the ecosystem and inquired about its implementation feasibility (i.e., cost).</w:t>
      </w:r>
      <w:r w:rsidR="005458B4">
        <w:rPr>
          <w:rFonts w:asciiTheme="majorBidi" w:hAnsiTheme="majorBidi" w:cstheme="majorBidi"/>
          <w:sz w:val="20"/>
          <w:szCs w:val="20"/>
        </w:rPr>
        <w:t xml:space="preserve"> </w:t>
      </w:r>
      <w:r w:rsidR="005458B4" w:rsidRPr="005458B4">
        <w:rPr>
          <w:rFonts w:asciiTheme="majorBidi" w:hAnsiTheme="majorBidi" w:cstheme="majorBidi"/>
          <w:sz w:val="20"/>
          <w:szCs w:val="20"/>
        </w:rPr>
        <w:t>T</w:t>
      </w:r>
      <w:r w:rsidR="00142517">
        <w:rPr>
          <w:rFonts w:asciiTheme="majorBidi" w:hAnsiTheme="majorBidi" w:cstheme="majorBidi"/>
          <w:sz w:val="20"/>
          <w:szCs w:val="20"/>
        </w:rPr>
        <w:t xml:space="preserve">hey suggest a telescopic notification feature comprising the privacy and security details </w:t>
      </w:r>
      <w:r w:rsidR="00142517">
        <w:rPr>
          <w:rFonts w:asciiTheme="majorBidi" w:hAnsiTheme="majorBidi" w:cstheme="majorBidi"/>
          <w:sz w:val="20"/>
          <w:szCs w:val="20"/>
        </w:rPr>
        <w:lastRenderedPageBreak/>
        <w:t>to ensure transparency in privacy and security practice</w:t>
      </w:r>
      <w:r w:rsidR="005458B4" w:rsidRPr="005458B4">
        <w:rPr>
          <w:rFonts w:asciiTheme="majorBidi" w:hAnsiTheme="majorBidi" w:cstheme="majorBidi"/>
          <w:sz w:val="20"/>
          <w:szCs w:val="20"/>
        </w:rPr>
        <w:t>s. They also demand a health policy review regarding patients</w:t>
      </w:r>
      <w:r w:rsidR="00337176">
        <w:rPr>
          <w:rFonts w:asciiTheme="majorBidi" w:hAnsiTheme="majorBidi" w:cstheme="majorBidi"/>
          <w:sz w:val="20"/>
          <w:szCs w:val="20"/>
        </w:rPr>
        <w:t>'</w:t>
      </w:r>
      <w:r w:rsidR="005458B4" w:rsidRPr="005458B4">
        <w:rPr>
          <w:rFonts w:asciiTheme="majorBidi" w:hAnsiTheme="majorBidi" w:cstheme="majorBidi"/>
          <w:sz w:val="20"/>
          <w:szCs w:val="20"/>
        </w:rPr>
        <w:t xml:space="preserve"> control over data sharing as it can be a data compromise point (e.g. data breach). In addition, they also demand regulatory concern in reviewing the existing notification distribution mechanism in the digital health settings, as the current practice demonstrates an authoritarian approach by the state-appointed policy advocates and regulators. Regarding interoperability, the actors suggest the usage of a common interoperability standard. On scalability, they suggest collaborative system design and development.</w:t>
      </w:r>
    </w:p>
    <w:p w14:paraId="445144CC" w14:textId="7CC91ADA" w:rsidR="005458B4" w:rsidRPr="00142517" w:rsidRDefault="005458B4" w:rsidP="005458B4">
      <w:pPr>
        <w:pStyle w:val="Footer"/>
        <w:jc w:val="both"/>
        <w:rPr>
          <w:rFonts w:asciiTheme="majorBidi" w:hAnsiTheme="majorBidi" w:cstheme="majorBidi"/>
          <w:sz w:val="14"/>
          <w:szCs w:val="14"/>
        </w:rPr>
      </w:pPr>
    </w:p>
    <w:p w14:paraId="4A1807BE" w14:textId="34363F36" w:rsidR="005458B4" w:rsidRDefault="005458B4" w:rsidP="00142517">
      <w:pPr>
        <w:spacing w:after="0" w:line="240" w:lineRule="auto"/>
        <w:jc w:val="both"/>
        <w:rPr>
          <w:rFonts w:asciiTheme="majorBidi" w:hAnsiTheme="majorBidi" w:cstheme="majorBidi"/>
          <w:sz w:val="20"/>
          <w:szCs w:val="20"/>
        </w:rPr>
      </w:pPr>
      <w:r w:rsidRPr="00637F58">
        <w:rPr>
          <w:rFonts w:asciiTheme="majorBidi" w:hAnsiTheme="majorBidi" w:cstheme="majorBidi"/>
          <w:sz w:val="20"/>
          <w:szCs w:val="20"/>
        </w:rPr>
        <w:t xml:space="preserve">Health </w:t>
      </w:r>
      <w:r w:rsidR="00637F58">
        <w:rPr>
          <w:rFonts w:asciiTheme="majorBidi" w:hAnsiTheme="majorBidi" w:cstheme="majorBidi"/>
          <w:sz w:val="20"/>
          <w:szCs w:val="20"/>
        </w:rPr>
        <w:t>p</w:t>
      </w:r>
      <w:r w:rsidRPr="00637F58">
        <w:rPr>
          <w:rFonts w:asciiTheme="majorBidi" w:hAnsiTheme="majorBidi" w:cstheme="majorBidi"/>
          <w:sz w:val="20"/>
          <w:szCs w:val="20"/>
        </w:rPr>
        <w:t>ractitioner</w:t>
      </w:r>
      <w:r w:rsidR="00637F58" w:rsidRPr="00637F58">
        <w:rPr>
          <w:rFonts w:asciiTheme="majorBidi" w:hAnsiTheme="majorBidi" w:cstheme="majorBidi"/>
          <w:sz w:val="20"/>
          <w:szCs w:val="20"/>
        </w:rPr>
        <w:t xml:space="preserve"> participants</w:t>
      </w:r>
      <w:r w:rsidRPr="00637F58">
        <w:rPr>
          <w:rFonts w:asciiTheme="majorBidi" w:hAnsiTheme="majorBidi" w:cstheme="majorBidi"/>
          <w:sz w:val="20"/>
          <w:szCs w:val="20"/>
        </w:rPr>
        <w:t xml:space="preserve"> shared </w:t>
      </w:r>
      <w:r w:rsidR="00637F58" w:rsidRPr="00637F58">
        <w:rPr>
          <w:rFonts w:asciiTheme="majorBidi" w:hAnsiTheme="majorBidi" w:cstheme="majorBidi"/>
          <w:sz w:val="20"/>
          <w:szCs w:val="20"/>
        </w:rPr>
        <w:t xml:space="preserve">their </w:t>
      </w:r>
      <w:r w:rsidRPr="00637F58">
        <w:rPr>
          <w:rFonts w:asciiTheme="majorBidi" w:hAnsiTheme="majorBidi" w:cstheme="majorBidi"/>
          <w:sz w:val="20"/>
          <w:szCs w:val="20"/>
        </w:rPr>
        <w:t xml:space="preserve">viewpoints on privacy and security, user-centricity, and interoperability. They demand patient-controlled data usage to ensure privacy regarding data privacy and security. They desire adequate, uninterrupted data exchange among the stakeholders, which requires the healthcare stakeholders' implementation and usage of common interoperability standards. They also acknowledge the focus on patient needs to ensure user-centric healthcare delivery. The participating actors are firmly aware of the genomic bank, biosensor data, and EHR/EMR, acknowledge the current patient acceptance issues into PHC and demand appropriate action to address the opt-in challenge by improving </w:t>
      </w:r>
      <w:r w:rsidR="00142517">
        <w:rPr>
          <w:rFonts w:asciiTheme="majorBidi" w:hAnsiTheme="majorBidi" w:cstheme="majorBidi"/>
          <w:sz w:val="20"/>
          <w:szCs w:val="20"/>
        </w:rPr>
        <w:t>patient trust</w:t>
      </w:r>
      <w:r w:rsidRPr="00637F58">
        <w:rPr>
          <w:rFonts w:asciiTheme="majorBidi" w:hAnsiTheme="majorBidi" w:cstheme="majorBidi"/>
          <w:sz w:val="20"/>
          <w:szCs w:val="20"/>
        </w:rPr>
        <w:t xml:space="preserve">. </w:t>
      </w:r>
      <w:r w:rsidRPr="005458B4">
        <w:rPr>
          <w:rFonts w:asciiTheme="majorBidi" w:hAnsiTheme="majorBidi" w:cstheme="majorBidi"/>
          <w:sz w:val="20"/>
          <w:szCs w:val="20"/>
        </w:rPr>
        <w:t xml:space="preserve">The participating actors also inquired about the competence of the proposed ecosystem in supporting sensitive physical examination (e.g. gyno intervention). From their expression, it is assumed that </w:t>
      </w:r>
      <w:r w:rsidR="00142517">
        <w:rPr>
          <w:rFonts w:asciiTheme="majorBidi" w:hAnsiTheme="majorBidi" w:cstheme="majorBidi"/>
          <w:sz w:val="20"/>
          <w:szCs w:val="20"/>
        </w:rPr>
        <w:t>participating health practitioner actors still have</w:t>
      </w:r>
      <w:r w:rsidRPr="005458B4">
        <w:rPr>
          <w:rFonts w:asciiTheme="majorBidi" w:hAnsiTheme="majorBidi" w:cstheme="majorBidi"/>
          <w:sz w:val="20"/>
          <w:szCs w:val="20"/>
        </w:rPr>
        <w:t xml:space="preserve"> a misconception about ¨Digital Applications Replacing Doctors¨, despite being familiar with its scope, application, capability, and context for years. In the contemporary healthcare setting, where digital transformation is disruptive, it is a challenge to make them understand that the emergence of digital health is to provide data support to health practitioners to ensure efficacy in healthcare services and delivery, not replac</w:t>
      </w:r>
      <w:r w:rsidR="00142517">
        <w:rPr>
          <w:rFonts w:asciiTheme="majorBidi" w:hAnsiTheme="majorBidi" w:cstheme="majorBidi"/>
          <w:sz w:val="20"/>
          <w:szCs w:val="20"/>
        </w:rPr>
        <w:t>e</w:t>
      </w:r>
      <w:r w:rsidRPr="005458B4">
        <w:rPr>
          <w:rFonts w:asciiTheme="majorBidi" w:hAnsiTheme="majorBidi" w:cstheme="majorBidi"/>
          <w:sz w:val="20"/>
          <w:szCs w:val="20"/>
        </w:rPr>
        <w:t xml:space="preserve"> them with technology. This vague conception is a challenge for expanding digital health and expect to be improved in the coming days.</w:t>
      </w:r>
      <w:r w:rsidR="00142517">
        <w:rPr>
          <w:rFonts w:asciiTheme="majorBidi" w:hAnsiTheme="majorBidi" w:cstheme="majorBidi"/>
          <w:sz w:val="20"/>
          <w:szCs w:val="20"/>
        </w:rPr>
        <w:t xml:space="preserve"> </w:t>
      </w:r>
      <w:r w:rsidRPr="005458B4">
        <w:rPr>
          <w:rFonts w:asciiTheme="majorBidi" w:hAnsiTheme="majorBidi" w:cstheme="majorBidi"/>
          <w:sz w:val="20"/>
          <w:szCs w:val="20"/>
        </w:rPr>
        <w:t>Nevertheless, the remote intervention of such type (sensitive) is subject to user consent, digital health literacy, overall technology infrastructure, and regulatory guideline (subject to availability). The PHC ecosystem is designed to support remote intervention with video consultation, EHR/EMR, Treatment Plan (periodically executed by the proposed system with patient consultation), clinical taxonomy, genomic profile (subject to availability), and digital twin (based on biosensors data from wearables, can be a generic type or health practitioner advised). The digital intervention of such type (sensitivity) is typically determined with user consent and depends on the health practitioners' competence in treating such. Therefore, the digital intervention of such kind (sensitive) with the demonstrated ecosystem is possible and significantly depends on health practitioners' and patients' experience, technical support and usage (at the user end), user consent (prior intervention), and regulatory approval.</w:t>
      </w:r>
    </w:p>
    <w:p w14:paraId="548D2163" w14:textId="77777777" w:rsidR="00637F58" w:rsidRPr="00142517" w:rsidRDefault="00637F58" w:rsidP="00637F58">
      <w:pPr>
        <w:spacing w:after="0" w:line="240" w:lineRule="auto"/>
        <w:jc w:val="both"/>
        <w:rPr>
          <w:rFonts w:asciiTheme="majorBidi" w:hAnsiTheme="majorBidi" w:cstheme="majorBidi"/>
          <w:sz w:val="14"/>
          <w:szCs w:val="14"/>
        </w:rPr>
      </w:pPr>
    </w:p>
    <w:p w14:paraId="1AEF907D" w14:textId="4CEE72C4" w:rsidR="00637F58" w:rsidRDefault="00142517" w:rsidP="00637F58">
      <w:pPr>
        <w:spacing w:after="0" w:line="240" w:lineRule="auto"/>
        <w:jc w:val="both"/>
        <w:rPr>
          <w:rFonts w:asciiTheme="majorBidi" w:hAnsiTheme="majorBidi" w:cstheme="majorBidi"/>
          <w:sz w:val="20"/>
          <w:szCs w:val="20"/>
        </w:rPr>
      </w:pPr>
      <w:r>
        <w:rPr>
          <w:rFonts w:asciiTheme="majorBidi" w:hAnsiTheme="majorBidi" w:cstheme="majorBidi"/>
          <w:sz w:val="20"/>
          <w:szCs w:val="20"/>
        </w:rPr>
        <w:t>T</w:t>
      </w:r>
      <w:r w:rsidR="005458B4" w:rsidRPr="00637F58">
        <w:rPr>
          <w:rFonts w:asciiTheme="majorBidi" w:hAnsiTheme="majorBidi" w:cstheme="majorBidi"/>
          <w:sz w:val="20"/>
          <w:szCs w:val="20"/>
        </w:rPr>
        <w:t xml:space="preserve">echnology </w:t>
      </w:r>
      <w:r w:rsidR="00637F58" w:rsidRPr="00637F58">
        <w:rPr>
          <w:rFonts w:asciiTheme="majorBidi" w:hAnsiTheme="majorBidi" w:cstheme="majorBidi"/>
          <w:sz w:val="20"/>
          <w:szCs w:val="20"/>
        </w:rPr>
        <w:t>v</w:t>
      </w:r>
      <w:r w:rsidR="005458B4" w:rsidRPr="00637F58">
        <w:rPr>
          <w:rFonts w:asciiTheme="majorBidi" w:hAnsiTheme="majorBidi" w:cstheme="majorBidi"/>
          <w:sz w:val="20"/>
          <w:szCs w:val="20"/>
        </w:rPr>
        <w:t xml:space="preserve">endor </w:t>
      </w:r>
      <w:r w:rsidR="00637F58" w:rsidRPr="00637F58">
        <w:rPr>
          <w:rFonts w:asciiTheme="majorBidi" w:hAnsiTheme="majorBidi" w:cstheme="majorBidi"/>
          <w:sz w:val="20"/>
          <w:szCs w:val="20"/>
        </w:rPr>
        <w:t xml:space="preserve">actors </w:t>
      </w:r>
      <w:r w:rsidR="005458B4" w:rsidRPr="00637F58">
        <w:rPr>
          <w:rFonts w:asciiTheme="majorBidi" w:hAnsiTheme="majorBidi" w:cstheme="majorBidi"/>
          <w:sz w:val="20"/>
          <w:szCs w:val="20"/>
        </w:rPr>
        <w:t>shared their viewpoints on monitoring practitioner performance, privacy and security, interoperability, and scalability. They demand solutions that will monitor the practitioners</w:t>
      </w:r>
      <w:r w:rsidR="00337176" w:rsidRPr="00637F58">
        <w:rPr>
          <w:rFonts w:asciiTheme="majorBidi" w:hAnsiTheme="majorBidi" w:cstheme="majorBidi"/>
          <w:sz w:val="20"/>
          <w:szCs w:val="20"/>
        </w:rPr>
        <w:t>'</w:t>
      </w:r>
      <w:r w:rsidR="005458B4" w:rsidRPr="00637F58">
        <w:rPr>
          <w:rFonts w:asciiTheme="majorBidi" w:hAnsiTheme="majorBidi" w:cstheme="majorBidi"/>
          <w:sz w:val="20"/>
          <w:szCs w:val="20"/>
        </w:rPr>
        <w:t xml:space="preserve"> performance while treating patients. Regarding privacy and security, they require privacy by default in the ecosystem and suggest including additional security mechanisms (i.e., Blockchain) besides conventional privacy and security implementations. </w:t>
      </w:r>
      <w:r>
        <w:rPr>
          <w:rFonts w:asciiTheme="majorBidi" w:hAnsiTheme="majorBidi" w:cstheme="majorBidi"/>
          <w:sz w:val="20"/>
          <w:szCs w:val="20"/>
        </w:rPr>
        <w:t>T</w:t>
      </w:r>
      <w:r w:rsidR="005458B4" w:rsidRPr="00637F58">
        <w:rPr>
          <w:rFonts w:asciiTheme="majorBidi" w:hAnsiTheme="majorBidi" w:cstheme="majorBidi"/>
          <w:sz w:val="20"/>
          <w:szCs w:val="20"/>
        </w:rPr>
        <w:t>hey acknowledge the data exchange challenge in LMICs (low-middle incoming countries) as different interoperability standards are in practice. Furthermore, many countries have laws that prohibit storing and sharing identifiable healthcare data offshore. Therefore, they suggest adopting a common interoperability standard for the ecosystem. Regarding scalability, they suggest strategic ecosystem development, including affordability in principle.</w:t>
      </w:r>
    </w:p>
    <w:p w14:paraId="68DF65E2" w14:textId="77777777" w:rsidR="00637F58" w:rsidRPr="00142517" w:rsidRDefault="00637F58" w:rsidP="00637F58">
      <w:pPr>
        <w:spacing w:after="0" w:line="240" w:lineRule="auto"/>
        <w:jc w:val="both"/>
        <w:rPr>
          <w:rFonts w:asciiTheme="majorBidi" w:hAnsiTheme="majorBidi" w:cstheme="majorBidi"/>
          <w:sz w:val="14"/>
          <w:szCs w:val="14"/>
        </w:rPr>
      </w:pPr>
    </w:p>
    <w:p w14:paraId="24B7A057" w14:textId="2B6BBB3C" w:rsidR="00637F58" w:rsidRDefault="005458B4" w:rsidP="00B1393E">
      <w:pPr>
        <w:spacing w:after="0" w:line="240" w:lineRule="auto"/>
        <w:jc w:val="both"/>
        <w:rPr>
          <w:rFonts w:asciiTheme="majorBidi" w:hAnsiTheme="majorBidi" w:cstheme="majorBidi"/>
          <w:sz w:val="20"/>
          <w:szCs w:val="20"/>
        </w:rPr>
      </w:pPr>
      <w:r w:rsidRPr="00637F58">
        <w:rPr>
          <w:rFonts w:asciiTheme="majorBidi" w:hAnsiTheme="majorBidi" w:cstheme="majorBidi"/>
          <w:sz w:val="20"/>
          <w:szCs w:val="20"/>
        </w:rPr>
        <w:t>Patient</w:t>
      </w:r>
      <w:r w:rsidR="00637F58" w:rsidRPr="00637F58">
        <w:rPr>
          <w:rFonts w:asciiTheme="majorBidi" w:hAnsiTheme="majorBidi" w:cstheme="majorBidi"/>
          <w:sz w:val="20"/>
          <w:szCs w:val="20"/>
        </w:rPr>
        <w:t xml:space="preserve"> participants</w:t>
      </w:r>
      <w:r w:rsidRPr="00637F58">
        <w:rPr>
          <w:rFonts w:asciiTheme="majorBidi" w:hAnsiTheme="majorBidi" w:cstheme="majorBidi"/>
          <w:sz w:val="20"/>
          <w:szCs w:val="20"/>
        </w:rPr>
        <w:t xml:space="preserve"> shared their viewpoints on user-centricity, privacy and security, transparency, and interoperability. They demand simple and user-friendly access focused on patient needs regarding user-centricity. The actors are concerned about the need for data privacy and security and suggest implementing robust privacy and security mechanism (i.e. encryption schemes) in the designed ecosystem. They suggest prior </w:t>
      </w:r>
      <w:r w:rsidR="00337176" w:rsidRPr="00637F58">
        <w:rPr>
          <w:rFonts w:asciiTheme="majorBidi" w:hAnsiTheme="majorBidi" w:cstheme="majorBidi"/>
          <w:sz w:val="20"/>
          <w:szCs w:val="20"/>
        </w:rPr>
        <w:t>"</w:t>
      </w:r>
      <w:r w:rsidRPr="00637F58">
        <w:rPr>
          <w:rFonts w:asciiTheme="majorBidi" w:hAnsiTheme="majorBidi" w:cstheme="majorBidi"/>
          <w:sz w:val="20"/>
          <w:szCs w:val="20"/>
        </w:rPr>
        <w:t>notification and consent</w:t>
      </w:r>
      <w:r w:rsidR="00337176" w:rsidRPr="00637F58">
        <w:rPr>
          <w:rFonts w:asciiTheme="majorBidi" w:hAnsiTheme="majorBidi" w:cstheme="majorBidi"/>
          <w:sz w:val="20"/>
          <w:szCs w:val="20"/>
        </w:rPr>
        <w:t>"</w:t>
      </w:r>
      <w:r w:rsidRPr="00637F58">
        <w:rPr>
          <w:rFonts w:asciiTheme="majorBidi" w:hAnsiTheme="majorBidi" w:cstheme="majorBidi"/>
          <w:sz w:val="20"/>
          <w:szCs w:val="20"/>
        </w:rPr>
        <w:t xml:space="preserve"> in practice regarding system and security updates to ensure transparency to every </w:t>
      </w:r>
      <w:r w:rsidR="00752787" w:rsidRPr="00637F58">
        <w:rPr>
          <w:rFonts w:asciiTheme="majorBidi" w:hAnsiTheme="majorBidi" w:cstheme="majorBidi"/>
          <w:sz w:val="20"/>
          <w:szCs w:val="20"/>
        </w:rPr>
        <w:t>U</w:t>
      </w:r>
      <w:r w:rsidRPr="00637F58">
        <w:rPr>
          <w:rFonts w:asciiTheme="majorBidi" w:hAnsiTheme="majorBidi" w:cstheme="majorBidi"/>
          <w:sz w:val="20"/>
          <w:szCs w:val="20"/>
        </w:rPr>
        <w:t>ser. Furthermore, the participating actors strongly recommend maintaining minimum data quality standards to support functional data interoperability among the stakeholders.</w:t>
      </w:r>
    </w:p>
    <w:p w14:paraId="5EFAC6DC" w14:textId="77777777" w:rsidR="00CB27E6" w:rsidRPr="00CB27E6" w:rsidRDefault="00CB27E6" w:rsidP="00B1393E">
      <w:pPr>
        <w:spacing w:after="0" w:line="240" w:lineRule="auto"/>
        <w:jc w:val="both"/>
        <w:rPr>
          <w:rFonts w:asciiTheme="majorBidi" w:hAnsiTheme="majorBidi" w:cstheme="majorBidi"/>
          <w:sz w:val="14"/>
          <w:szCs w:val="14"/>
        </w:rPr>
      </w:pPr>
    </w:p>
    <w:p w14:paraId="24887F92" w14:textId="2AE4EF9A" w:rsidR="00A40BE4" w:rsidRDefault="00637F58" w:rsidP="00637F58">
      <w:pPr>
        <w:spacing w:after="0" w:line="240" w:lineRule="auto"/>
        <w:jc w:val="both"/>
        <w:rPr>
          <w:rFonts w:asciiTheme="majorBidi" w:hAnsiTheme="majorBidi" w:cstheme="majorBidi"/>
          <w:sz w:val="20"/>
          <w:szCs w:val="20"/>
        </w:rPr>
      </w:pPr>
      <w:r w:rsidRPr="00637F58">
        <w:rPr>
          <w:rFonts w:asciiTheme="majorBidi" w:hAnsiTheme="majorBidi" w:cstheme="majorBidi"/>
          <w:sz w:val="20"/>
          <w:szCs w:val="20"/>
        </w:rPr>
        <w:t>Participants with p</w:t>
      </w:r>
      <w:r w:rsidR="00A40BE4" w:rsidRPr="00637F58">
        <w:rPr>
          <w:rFonts w:asciiTheme="majorBidi" w:hAnsiTheme="majorBidi" w:cstheme="majorBidi"/>
          <w:sz w:val="20"/>
          <w:szCs w:val="20"/>
        </w:rPr>
        <w:t>olicymaker</w:t>
      </w:r>
      <w:r w:rsidRPr="00637F58">
        <w:rPr>
          <w:rFonts w:asciiTheme="majorBidi" w:hAnsiTheme="majorBidi" w:cstheme="majorBidi"/>
          <w:sz w:val="20"/>
          <w:szCs w:val="20"/>
        </w:rPr>
        <w:t xml:space="preserve"> background</w:t>
      </w:r>
      <w:r w:rsidR="00142517">
        <w:rPr>
          <w:rFonts w:asciiTheme="majorBidi" w:hAnsiTheme="majorBidi" w:cstheme="majorBidi"/>
          <w:sz w:val="20"/>
          <w:szCs w:val="20"/>
        </w:rPr>
        <w:t>s</w:t>
      </w:r>
      <w:r w:rsidR="00A40BE4" w:rsidRPr="00637F58">
        <w:rPr>
          <w:rFonts w:asciiTheme="majorBidi" w:hAnsiTheme="majorBidi" w:cstheme="majorBidi"/>
          <w:sz w:val="20"/>
          <w:szCs w:val="20"/>
        </w:rPr>
        <w:t xml:space="preserve"> shared viewpoints on privacy and security, transparency, biosensor device, data aggregation, and patient engagement in PHC. The actor acknowledges the need for privacy and security in every possible aspect of healthcare data (collection, storage, analysis, and sharing) so that it does not harm the patients. Data should be dealt with patients</w:t>
      </w:r>
      <w:r w:rsidR="00337176" w:rsidRPr="00637F58">
        <w:rPr>
          <w:rFonts w:asciiTheme="majorBidi" w:hAnsiTheme="majorBidi" w:cstheme="majorBidi"/>
          <w:sz w:val="20"/>
          <w:szCs w:val="20"/>
        </w:rPr>
        <w:t>'</w:t>
      </w:r>
      <w:r w:rsidR="00A40BE4" w:rsidRPr="00637F58">
        <w:rPr>
          <w:rFonts w:asciiTheme="majorBidi" w:hAnsiTheme="majorBidi" w:cstheme="majorBidi"/>
          <w:sz w:val="20"/>
          <w:szCs w:val="20"/>
        </w:rPr>
        <w:t xml:space="preserve"> prior consent to establish transparency. Expansion of biosensor devices and their usage should be on rollout and context-specific. Strategic imposing of all these mentioned can potentially impact patient engagement in PHC. Furthermore, all these are potential for data aggregation and </w:t>
      </w:r>
      <w:r w:rsidR="00142517">
        <w:rPr>
          <w:rFonts w:asciiTheme="majorBidi" w:hAnsiTheme="majorBidi" w:cstheme="majorBidi"/>
          <w:sz w:val="20"/>
          <w:szCs w:val="20"/>
        </w:rPr>
        <w:t xml:space="preserve">are </w:t>
      </w:r>
      <w:r w:rsidR="00A40BE4" w:rsidRPr="00637F58">
        <w:rPr>
          <w:rFonts w:asciiTheme="majorBidi" w:hAnsiTheme="majorBidi" w:cstheme="majorBidi"/>
          <w:sz w:val="20"/>
          <w:szCs w:val="20"/>
        </w:rPr>
        <w:t>significant for healthcare policy development and improvement.</w:t>
      </w:r>
    </w:p>
    <w:p w14:paraId="4CE6D4DF" w14:textId="77777777" w:rsidR="00637F58" w:rsidRPr="00142517" w:rsidRDefault="00637F58" w:rsidP="00637F58">
      <w:pPr>
        <w:spacing w:after="0" w:line="240" w:lineRule="auto"/>
        <w:jc w:val="both"/>
        <w:rPr>
          <w:rFonts w:asciiTheme="majorBidi" w:hAnsiTheme="majorBidi" w:cstheme="majorBidi"/>
          <w:sz w:val="12"/>
          <w:szCs w:val="12"/>
        </w:rPr>
      </w:pPr>
    </w:p>
    <w:p w14:paraId="623B5C5F" w14:textId="27284375" w:rsidR="00A40BE4" w:rsidRPr="00652069" w:rsidRDefault="00637F58" w:rsidP="00142517">
      <w:pPr>
        <w:spacing w:after="0" w:line="240" w:lineRule="auto"/>
        <w:jc w:val="both"/>
        <w:rPr>
          <w:rFonts w:asciiTheme="majorBidi" w:hAnsiTheme="majorBidi" w:cstheme="majorBidi"/>
          <w:sz w:val="20"/>
          <w:szCs w:val="20"/>
        </w:rPr>
      </w:pPr>
      <w:r w:rsidRPr="00652069">
        <w:rPr>
          <w:rFonts w:asciiTheme="majorBidi" w:hAnsiTheme="majorBidi" w:cstheme="majorBidi"/>
          <w:sz w:val="20"/>
          <w:szCs w:val="20"/>
        </w:rPr>
        <w:t xml:space="preserve">Due to the </w:t>
      </w:r>
      <w:r w:rsidR="00F03125" w:rsidRPr="00652069">
        <w:rPr>
          <w:rFonts w:asciiTheme="majorBidi" w:hAnsiTheme="majorBidi" w:cstheme="majorBidi"/>
          <w:sz w:val="20"/>
          <w:szCs w:val="20"/>
        </w:rPr>
        <w:t xml:space="preserve">ongoing </w:t>
      </w:r>
      <w:r w:rsidRPr="00652069">
        <w:rPr>
          <w:rFonts w:asciiTheme="majorBidi" w:hAnsiTheme="majorBidi" w:cstheme="majorBidi"/>
          <w:sz w:val="20"/>
          <w:szCs w:val="20"/>
        </w:rPr>
        <w:t xml:space="preserve">COVID-19 pandemic, participating healthcare actors </w:t>
      </w:r>
      <w:r w:rsidR="00142517" w:rsidRPr="00652069">
        <w:rPr>
          <w:rFonts w:asciiTheme="majorBidi" w:hAnsiTheme="majorBidi" w:cstheme="majorBidi"/>
          <w:sz w:val="20"/>
          <w:szCs w:val="20"/>
        </w:rPr>
        <w:t>underwent</w:t>
      </w:r>
      <w:r w:rsidRPr="00652069">
        <w:rPr>
          <w:rFonts w:asciiTheme="majorBidi" w:hAnsiTheme="majorBidi" w:cstheme="majorBidi"/>
          <w:sz w:val="20"/>
          <w:szCs w:val="20"/>
        </w:rPr>
        <w:t xml:space="preserve"> a stressful work </w:t>
      </w:r>
      <w:r w:rsidR="00142517" w:rsidRPr="00652069">
        <w:rPr>
          <w:rFonts w:asciiTheme="majorBidi" w:hAnsiTheme="majorBidi" w:cstheme="majorBidi"/>
          <w:sz w:val="20"/>
          <w:szCs w:val="20"/>
        </w:rPr>
        <w:t>cycle</w:t>
      </w:r>
      <w:r w:rsidR="00F03125" w:rsidRPr="00652069">
        <w:rPr>
          <w:rFonts w:asciiTheme="majorBidi" w:hAnsiTheme="majorBidi" w:cstheme="majorBidi"/>
          <w:sz w:val="20"/>
          <w:szCs w:val="20"/>
        </w:rPr>
        <w:t xml:space="preserve"> in terms of</w:t>
      </w:r>
      <w:r w:rsidRPr="00652069">
        <w:rPr>
          <w:rFonts w:asciiTheme="majorBidi" w:hAnsiTheme="majorBidi" w:cstheme="majorBidi"/>
          <w:sz w:val="20"/>
          <w:szCs w:val="20"/>
        </w:rPr>
        <w:t xml:space="preserve"> work commitments and workloads</w:t>
      </w:r>
      <w:r w:rsidR="00F03125" w:rsidRPr="00652069">
        <w:rPr>
          <w:rFonts w:asciiTheme="majorBidi" w:hAnsiTheme="majorBidi" w:cstheme="majorBidi"/>
          <w:sz w:val="20"/>
          <w:szCs w:val="20"/>
        </w:rPr>
        <w:t xml:space="preserve">. Hence, </w:t>
      </w:r>
      <w:r w:rsidRPr="00652069">
        <w:rPr>
          <w:rFonts w:asciiTheme="majorBidi" w:hAnsiTheme="majorBidi" w:cstheme="majorBidi"/>
          <w:sz w:val="20"/>
          <w:szCs w:val="20"/>
        </w:rPr>
        <w:t xml:space="preserve">scheduling DVW on a specific date and time was </w:t>
      </w:r>
      <w:r w:rsidR="00142517" w:rsidRPr="00652069">
        <w:rPr>
          <w:rFonts w:asciiTheme="majorBidi" w:hAnsiTheme="majorBidi" w:cstheme="majorBidi"/>
          <w:sz w:val="20"/>
          <w:szCs w:val="20"/>
        </w:rPr>
        <w:t>challenging</w:t>
      </w:r>
      <w:r w:rsidRPr="00652069">
        <w:rPr>
          <w:rFonts w:asciiTheme="majorBidi" w:hAnsiTheme="majorBidi" w:cstheme="majorBidi"/>
          <w:sz w:val="20"/>
          <w:szCs w:val="20"/>
        </w:rPr>
        <w:t xml:space="preserve">. In these circumstances, </w:t>
      </w:r>
      <w:r w:rsidR="00F03125" w:rsidRPr="00652069">
        <w:rPr>
          <w:rFonts w:asciiTheme="majorBidi" w:hAnsiTheme="majorBidi" w:cstheme="majorBidi"/>
          <w:sz w:val="20"/>
          <w:szCs w:val="20"/>
        </w:rPr>
        <w:t xml:space="preserve">the DVW was conducted in a </w:t>
      </w:r>
      <w:r w:rsidRPr="00652069">
        <w:rPr>
          <w:rFonts w:asciiTheme="majorBidi" w:hAnsiTheme="majorBidi" w:cstheme="majorBidi"/>
          <w:sz w:val="20"/>
          <w:szCs w:val="20"/>
        </w:rPr>
        <w:t xml:space="preserve">virtual and </w:t>
      </w:r>
      <w:r w:rsidR="00F03125" w:rsidRPr="00652069">
        <w:rPr>
          <w:rFonts w:asciiTheme="majorBidi" w:hAnsiTheme="majorBidi" w:cstheme="majorBidi"/>
          <w:sz w:val="20"/>
          <w:szCs w:val="20"/>
        </w:rPr>
        <w:t>asynchronous</w:t>
      </w:r>
      <w:r w:rsidRPr="00652069">
        <w:rPr>
          <w:rFonts w:asciiTheme="majorBidi" w:hAnsiTheme="majorBidi" w:cstheme="majorBidi"/>
          <w:sz w:val="20"/>
          <w:szCs w:val="20"/>
        </w:rPr>
        <w:t xml:space="preserve"> mode. The demonstration was pre-recorded and distributed among the participants to join at their convenience. A</w:t>
      </w:r>
      <w:r w:rsidR="00A40BE4" w:rsidRPr="00652069">
        <w:rPr>
          <w:rFonts w:asciiTheme="majorBidi" w:hAnsiTheme="majorBidi" w:cstheme="majorBidi"/>
          <w:sz w:val="20"/>
          <w:szCs w:val="20"/>
        </w:rPr>
        <w:t xml:space="preserve"> participation link was developed using Google Forms, with consent information, </w:t>
      </w:r>
      <w:r w:rsidR="00142517" w:rsidRPr="00652069">
        <w:rPr>
          <w:rFonts w:asciiTheme="majorBidi" w:hAnsiTheme="majorBidi" w:cstheme="majorBidi"/>
          <w:sz w:val="20"/>
          <w:szCs w:val="20"/>
        </w:rPr>
        <w:t xml:space="preserve">a </w:t>
      </w:r>
      <w:r w:rsidR="00A40BE4" w:rsidRPr="00652069">
        <w:rPr>
          <w:rFonts w:asciiTheme="majorBidi" w:hAnsiTheme="majorBidi" w:cstheme="majorBidi"/>
          <w:sz w:val="20"/>
          <w:szCs w:val="20"/>
        </w:rPr>
        <w:t xml:space="preserve">participant profile, a video </w:t>
      </w:r>
      <w:r w:rsidR="00F03125" w:rsidRPr="00652069">
        <w:rPr>
          <w:rFonts w:asciiTheme="majorBidi" w:hAnsiTheme="majorBidi" w:cstheme="majorBidi"/>
          <w:sz w:val="20"/>
          <w:szCs w:val="20"/>
        </w:rPr>
        <w:t>overview</w:t>
      </w:r>
      <w:r w:rsidR="00A40BE4" w:rsidRPr="00652069">
        <w:rPr>
          <w:rFonts w:asciiTheme="majorBidi" w:hAnsiTheme="majorBidi" w:cstheme="majorBidi"/>
          <w:sz w:val="20"/>
          <w:szCs w:val="20"/>
        </w:rPr>
        <w:t xml:space="preserve"> of the</w:t>
      </w:r>
      <w:r w:rsidRPr="00652069">
        <w:rPr>
          <w:rFonts w:asciiTheme="majorBidi" w:hAnsiTheme="majorBidi" w:cstheme="majorBidi"/>
          <w:sz w:val="20"/>
          <w:szCs w:val="20"/>
        </w:rPr>
        <w:t xml:space="preserve"> </w:t>
      </w:r>
      <w:r w:rsidR="00A40BE4" w:rsidRPr="00652069">
        <w:rPr>
          <w:rFonts w:asciiTheme="majorBidi" w:hAnsiTheme="majorBidi" w:cstheme="majorBidi"/>
          <w:sz w:val="20"/>
          <w:szCs w:val="20"/>
        </w:rPr>
        <w:t>New</w:t>
      </w:r>
      <w:r w:rsidRPr="00652069">
        <w:rPr>
          <w:rFonts w:asciiTheme="majorBidi" w:hAnsiTheme="majorBidi" w:cstheme="majorBidi"/>
          <w:sz w:val="20"/>
          <w:szCs w:val="20"/>
        </w:rPr>
        <w:t xml:space="preserve"> </w:t>
      </w:r>
      <w:r w:rsidR="00A40BE4" w:rsidRPr="00652069">
        <w:rPr>
          <w:rFonts w:asciiTheme="majorBidi" w:hAnsiTheme="majorBidi" w:cstheme="majorBidi"/>
          <w:sz w:val="20"/>
          <w:szCs w:val="20"/>
        </w:rPr>
        <w:t>Zealand</w:t>
      </w:r>
      <w:r w:rsidRPr="00652069">
        <w:rPr>
          <w:rFonts w:asciiTheme="majorBidi" w:hAnsiTheme="majorBidi" w:cstheme="majorBidi"/>
          <w:sz w:val="20"/>
          <w:szCs w:val="20"/>
        </w:rPr>
        <w:t xml:space="preserve"> PHC service</w:t>
      </w:r>
      <w:r w:rsidR="00A40BE4" w:rsidRPr="00652069">
        <w:rPr>
          <w:rFonts w:asciiTheme="majorBidi" w:hAnsiTheme="majorBidi" w:cstheme="majorBidi"/>
          <w:sz w:val="20"/>
          <w:szCs w:val="20"/>
        </w:rPr>
        <w:t xml:space="preserve"> platform, and a design validation instrument</w:t>
      </w:r>
      <w:r w:rsidR="00F03125" w:rsidRPr="00652069">
        <w:rPr>
          <w:rFonts w:asciiTheme="majorBidi" w:hAnsiTheme="majorBidi" w:cstheme="majorBidi"/>
          <w:sz w:val="20"/>
          <w:szCs w:val="20"/>
        </w:rPr>
        <w:t xml:space="preserve"> [available from the lead author upon request]</w:t>
      </w:r>
      <w:r w:rsidR="00A40BE4" w:rsidRPr="00652069">
        <w:rPr>
          <w:rFonts w:asciiTheme="majorBidi" w:hAnsiTheme="majorBidi" w:cstheme="majorBidi"/>
          <w:sz w:val="20"/>
          <w:szCs w:val="20"/>
        </w:rPr>
        <w:t xml:space="preserve">. The design validation instrument was used to assess (on a 0 to 10 Likert scale) the social desirability, technological feasibility, and economic viability of the </w:t>
      </w:r>
      <w:r w:rsidR="00D719F6" w:rsidRPr="00652069">
        <w:rPr>
          <w:rFonts w:asciiTheme="majorBidi" w:hAnsiTheme="majorBidi" w:cstheme="majorBidi"/>
          <w:sz w:val="20"/>
          <w:szCs w:val="20"/>
        </w:rPr>
        <w:t>set of sub-artefacts developed during the Design Refinement Interviews and submitted in the Annex to this paper</w:t>
      </w:r>
      <w:r w:rsidR="00A40BE4" w:rsidRPr="00652069">
        <w:rPr>
          <w:rFonts w:asciiTheme="majorBidi" w:hAnsiTheme="majorBidi" w:cstheme="majorBidi"/>
          <w:sz w:val="20"/>
          <w:szCs w:val="20"/>
        </w:rPr>
        <w:t>. 85% of the participating actors (17 out of 20) rated between 7 to 10 on the social desirability and economic viability of demonstrated PHC ecosystem. Furthermore, 90% of the participating actors (18 out of 20) rate between 7 to 10 on technological feasibility.</w:t>
      </w:r>
      <w:r w:rsidR="00D719F6" w:rsidRPr="00652069">
        <w:rPr>
          <w:rFonts w:asciiTheme="majorBidi" w:hAnsiTheme="majorBidi" w:cstheme="majorBidi"/>
          <w:sz w:val="20"/>
          <w:szCs w:val="20"/>
        </w:rPr>
        <w:t xml:space="preserve"> We may claim face and construct validity.</w:t>
      </w:r>
    </w:p>
    <w:p w14:paraId="655F1FDE" w14:textId="77777777" w:rsidR="00142517" w:rsidRPr="00142517" w:rsidRDefault="00142517" w:rsidP="00142517">
      <w:pPr>
        <w:spacing w:after="0" w:line="240" w:lineRule="auto"/>
        <w:jc w:val="both"/>
        <w:rPr>
          <w:rFonts w:asciiTheme="majorBidi" w:hAnsiTheme="majorBidi" w:cstheme="majorBidi"/>
          <w:color w:val="FF0000"/>
          <w:sz w:val="12"/>
          <w:szCs w:val="12"/>
        </w:rPr>
      </w:pPr>
    </w:p>
    <w:p w14:paraId="57FB9955" w14:textId="77777777" w:rsidR="00142517" w:rsidRDefault="00A40BE4" w:rsidP="00142517">
      <w:pPr>
        <w:spacing w:line="240" w:lineRule="auto"/>
        <w:jc w:val="both"/>
        <w:rPr>
          <w:rFonts w:asciiTheme="majorBidi" w:hAnsiTheme="majorBidi" w:cstheme="majorBidi"/>
          <w:sz w:val="20"/>
          <w:szCs w:val="20"/>
        </w:rPr>
      </w:pPr>
      <w:r w:rsidRPr="00637F58">
        <w:rPr>
          <w:rFonts w:asciiTheme="majorBidi" w:hAnsiTheme="majorBidi" w:cstheme="majorBidi"/>
          <w:sz w:val="20"/>
          <w:szCs w:val="20"/>
        </w:rPr>
        <w:t xml:space="preserve">A few suggestions and comments were also received from the participating actors. Among those, a notable one suggested </w:t>
      </w:r>
      <w:r w:rsidR="00337176" w:rsidRPr="00637F58">
        <w:rPr>
          <w:rFonts w:asciiTheme="majorBidi" w:hAnsiTheme="majorBidi" w:cstheme="majorBidi"/>
          <w:sz w:val="20"/>
          <w:szCs w:val="20"/>
        </w:rPr>
        <w:t>"</w:t>
      </w:r>
      <w:r w:rsidRPr="00637F58">
        <w:rPr>
          <w:rFonts w:asciiTheme="majorBidi" w:hAnsiTheme="majorBidi" w:cstheme="majorBidi"/>
          <w:sz w:val="20"/>
          <w:szCs w:val="20"/>
        </w:rPr>
        <w:t>multi-tier patient consent</w:t>
      </w:r>
      <w:r w:rsidR="00337176" w:rsidRPr="00637F58">
        <w:rPr>
          <w:rFonts w:asciiTheme="majorBidi" w:hAnsiTheme="majorBidi" w:cstheme="majorBidi"/>
          <w:sz w:val="20"/>
          <w:szCs w:val="20"/>
        </w:rPr>
        <w:t>"</w:t>
      </w:r>
      <w:r w:rsidRPr="00637F58">
        <w:rPr>
          <w:rFonts w:asciiTheme="majorBidi" w:hAnsiTheme="majorBidi" w:cstheme="majorBidi"/>
          <w:sz w:val="20"/>
          <w:szCs w:val="20"/>
        </w:rPr>
        <w:t xml:space="preserve"> as a requirement during genomic information accessed by the health practitioner. The e</w:t>
      </w:r>
      <w:r w:rsidR="00142517">
        <w:rPr>
          <w:rFonts w:asciiTheme="majorBidi" w:hAnsiTheme="majorBidi" w:cstheme="majorBidi"/>
          <w:sz w:val="20"/>
          <w:szCs w:val="20"/>
        </w:rPr>
        <w:t xml:space="preserve">cosystem's existing </w:t>
      </w:r>
      <w:r w:rsidR="00142517">
        <w:rPr>
          <w:rFonts w:asciiTheme="majorBidi" w:hAnsiTheme="majorBidi" w:cstheme="majorBidi"/>
          <w:sz w:val="20"/>
          <w:szCs w:val="20"/>
        </w:rPr>
        <w:lastRenderedPageBreak/>
        <w:t>design can support</w:t>
      </w:r>
      <w:r w:rsidRPr="00637F58">
        <w:rPr>
          <w:rFonts w:asciiTheme="majorBidi" w:hAnsiTheme="majorBidi" w:cstheme="majorBidi"/>
          <w:sz w:val="20"/>
          <w:szCs w:val="20"/>
        </w:rPr>
        <w:t xml:space="preserve"> such needs through its notification management without making any design refinement. By design, the system notifies the patients of every activity related to their health data, including consent requests. Therefore, by default, the system will inform the patient about the request made by the health practitioner and ask for consent before approving the genomic information request. It empowers patients</w:t>
      </w:r>
      <w:r w:rsidR="00337176" w:rsidRPr="00637F58">
        <w:rPr>
          <w:rFonts w:asciiTheme="majorBidi" w:hAnsiTheme="majorBidi" w:cstheme="majorBidi"/>
          <w:sz w:val="20"/>
          <w:szCs w:val="20"/>
        </w:rPr>
        <w:t>'</w:t>
      </w:r>
      <w:r w:rsidRPr="00637F58">
        <w:rPr>
          <w:rFonts w:asciiTheme="majorBidi" w:hAnsiTheme="majorBidi" w:cstheme="majorBidi"/>
          <w:sz w:val="20"/>
          <w:szCs w:val="20"/>
        </w:rPr>
        <w:t xml:space="preserve"> control over their health data usage and motivates active engagement with the ecosystem. The ecosystem visualises genomic information to the patients on request only. It is purposed to optimise the operational and maintenance cost of the ecosystem, as </w:t>
      </w:r>
      <w:r w:rsidR="00142517">
        <w:rPr>
          <w:rFonts w:asciiTheme="majorBidi" w:hAnsiTheme="majorBidi" w:cstheme="majorBidi"/>
          <w:sz w:val="20"/>
          <w:szCs w:val="20"/>
        </w:rPr>
        <w:t>understanding</w:t>
      </w:r>
      <w:r w:rsidRPr="00637F58">
        <w:rPr>
          <w:rFonts w:asciiTheme="majorBidi" w:hAnsiTheme="majorBidi" w:cstheme="majorBidi"/>
          <w:sz w:val="20"/>
          <w:szCs w:val="20"/>
        </w:rPr>
        <w:t xml:space="preserve"> genomic information requires high-level knowledge of medical terms and education and may be counterproductive (e.g. frustrating, demotivating) in patient engagement.</w:t>
      </w:r>
    </w:p>
    <w:p w14:paraId="2EA69B0B" w14:textId="77777777" w:rsidR="00142517" w:rsidRDefault="00421256" w:rsidP="00142517">
      <w:pPr>
        <w:spacing w:line="240" w:lineRule="auto"/>
        <w:jc w:val="both"/>
        <w:rPr>
          <w:rFonts w:asciiTheme="majorBidi" w:hAnsiTheme="majorBidi" w:cstheme="majorBidi"/>
          <w:sz w:val="20"/>
          <w:szCs w:val="20"/>
        </w:rPr>
      </w:pPr>
      <w:r w:rsidRPr="00421256">
        <w:rPr>
          <w:rFonts w:asciiTheme="majorBidi" w:hAnsiTheme="majorBidi" w:cstheme="majorBidi"/>
          <w:sz w:val="20"/>
          <w:szCs w:val="20"/>
        </w:rPr>
        <w:t>As an agenda for further research, the following are suggested. The artefact</w:t>
      </w:r>
      <w:r w:rsidR="00637F58">
        <w:rPr>
          <w:rFonts w:asciiTheme="majorBidi" w:hAnsiTheme="majorBidi" w:cstheme="majorBidi"/>
          <w:b/>
          <w:bCs/>
          <w:sz w:val="20"/>
          <w:szCs w:val="20"/>
        </w:rPr>
        <w:t xml:space="preserve"> </w:t>
      </w:r>
      <w:r w:rsidR="00637F58" w:rsidRPr="00142517">
        <w:rPr>
          <w:rFonts w:asciiTheme="majorBidi" w:hAnsiTheme="majorBidi" w:cstheme="majorBidi"/>
          <w:sz w:val="20"/>
          <w:szCs w:val="20"/>
        </w:rPr>
        <w:t>and sub-artefacts</w:t>
      </w:r>
      <w:r w:rsidRPr="00142517">
        <w:rPr>
          <w:rFonts w:asciiTheme="majorBidi" w:hAnsiTheme="majorBidi" w:cstheme="majorBidi"/>
          <w:sz w:val="20"/>
          <w:szCs w:val="20"/>
        </w:rPr>
        <w:t xml:space="preserve"> of the PHC ecosystem are now ready for functional implementation. Therefore, one course of action should be </w:t>
      </w:r>
      <w:r w:rsidR="00142517" w:rsidRPr="00142517">
        <w:rPr>
          <w:rFonts w:asciiTheme="majorBidi" w:hAnsiTheme="majorBidi" w:cstheme="majorBidi"/>
          <w:sz w:val="20"/>
          <w:szCs w:val="20"/>
        </w:rPr>
        <w:t>developing</w:t>
      </w:r>
      <w:r w:rsidRPr="00421256">
        <w:rPr>
          <w:rFonts w:asciiTheme="majorBidi" w:hAnsiTheme="majorBidi" w:cstheme="majorBidi"/>
          <w:sz w:val="20"/>
          <w:szCs w:val="20"/>
        </w:rPr>
        <w:t xml:space="preserve"> a real-world system. Considering the economic viability, implementing the designed ecosystem should be cost-effective in cloud computing infrastructure (Reynoso, 2017</w:t>
      </w:r>
      <w:r w:rsidRPr="00142517">
        <w:rPr>
          <w:rFonts w:asciiTheme="majorBidi" w:hAnsiTheme="majorBidi" w:cstheme="majorBidi"/>
          <w:sz w:val="20"/>
          <w:szCs w:val="20"/>
        </w:rPr>
        <w:t>). However, due to the sophistic</w:t>
      </w:r>
      <w:r w:rsidR="00142517" w:rsidRPr="00142517">
        <w:rPr>
          <w:rFonts w:asciiTheme="majorBidi" w:hAnsiTheme="majorBidi" w:cstheme="majorBidi"/>
          <w:sz w:val="20"/>
          <w:szCs w:val="20"/>
        </w:rPr>
        <w:t>ated</w:t>
      </w:r>
      <w:r w:rsidRPr="00142517">
        <w:rPr>
          <w:rFonts w:asciiTheme="majorBidi" w:hAnsiTheme="majorBidi" w:cstheme="majorBidi"/>
          <w:sz w:val="20"/>
          <w:szCs w:val="20"/>
        </w:rPr>
        <w:t xml:space="preserve"> health data, </w:t>
      </w:r>
      <w:r w:rsidR="00142517" w:rsidRPr="00142517">
        <w:rPr>
          <w:rFonts w:asciiTheme="majorBidi" w:hAnsiTheme="majorBidi" w:cstheme="majorBidi"/>
          <w:sz w:val="20"/>
          <w:szCs w:val="20"/>
        </w:rPr>
        <w:t xml:space="preserve">a </w:t>
      </w:r>
      <w:r w:rsidRPr="00142517">
        <w:rPr>
          <w:rFonts w:asciiTheme="majorBidi" w:hAnsiTheme="majorBidi" w:cstheme="majorBidi"/>
          <w:sz w:val="20"/>
          <w:szCs w:val="20"/>
        </w:rPr>
        <w:t>such implementation</w:t>
      </w:r>
      <w:r w:rsidRPr="00421256">
        <w:rPr>
          <w:rFonts w:asciiTheme="majorBidi" w:hAnsiTheme="majorBidi" w:cstheme="majorBidi"/>
          <w:sz w:val="20"/>
          <w:szCs w:val="20"/>
        </w:rPr>
        <w:t xml:space="preserve"> should be conducted with regulatory concern and approval.</w:t>
      </w:r>
    </w:p>
    <w:p w14:paraId="50BCBCCF" w14:textId="4896C29F" w:rsidR="00637F58" w:rsidRDefault="00421256" w:rsidP="00142517">
      <w:pPr>
        <w:spacing w:after="0" w:line="240" w:lineRule="auto"/>
        <w:jc w:val="both"/>
        <w:rPr>
          <w:rFonts w:asciiTheme="majorBidi" w:hAnsiTheme="majorBidi" w:cstheme="majorBidi"/>
          <w:b/>
          <w:bCs/>
          <w:sz w:val="20"/>
          <w:szCs w:val="20"/>
        </w:rPr>
      </w:pPr>
      <w:r w:rsidRPr="00142517">
        <w:rPr>
          <w:rFonts w:asciiTheme="majorBidi" w:hAnsiTheme="majorBidi" w:cstheme="majorBidi"/>
          <w:sz w:val="20"/>
          <w:szCs w:val="20"/>
        </w:rPr>
        <w:t xml:space="preserve">Further research on </w:t>
      </w:r>
      <w:r w:rsidR="00142517" w:rsidRPr="00142517">
        <w:rPr>
          <w:rFonts w:asciiTheme="majorBidi" w:hAnsiTheme="majorBidi" w:cstheme="majorBidi"/>
          <w:sz w:val="20"/>
          <w:szCs w:val="20"/>
        </w:rPr>
        <w:t>health data privacy and security policy development</w:t>
      </w:r>
      <w:r w:rsidRPr="00142517">
        <w:rPr>
          <w:rFonts w:asciiTheme="majorBidi" w:hAnsiTheme="majorBidi" w:cstheme="majorBidi"/>
          <w:sz w:val="20"/>
          <w:szCs w:val="20"/>
        </w:rPr>
        <w:t xml:space="preserve"> is also required to accommodate the disruptive information technologies within the digital health domain. The regulators can </w:t>
      </w:r>
      <w:r w:rsidR="00142517" w:rsidRPr="00142517">
        <w:rPr>
          <w:rFonts w:asciiTheme="majorBidi" w:hAnsiTheme="majorBidi" w:cstheme="majorBidi"/>
          <w:sz w:val="20"/>
          <w:szCs w:val="20"/>
        </w:rPr>
        <w:t>strategically monitor</w:t>
      </w:r>
      <w:r w:rsidRPr="00142517">
        <w:rPr>
          <w:rFonts w:asciiTheme="majorBidi" w:hAnsiTheme="majorBidi" w:cstheme="majorBidi"/>
          <w:sz w:val="20"/>
          <w:szCs w:val="20"/>
        </w:rPr>
        <w:t xml:space="preserve"> the operational services and exercise enforcements when needed (Sharma et al., 2019). </w:t>
      </w:r>
      <w:r w:rsidR="00637F58" w:rsidRPr="00142517">
        <w:rPr>
          <w:rFonts w:asciiTheme="majorBidi" w:hAnsiTheme="majorBidi" w:cstheme="majorBidi"/>
          <w:sz w:val="20"/>
          <w:szCs w:val="20"/>
        </w:rPr>
        <w:t>Furthermore</w:t>
      </w:r>
      <w:r w:rsidRPr="00142517">
        <w:rPr>
          <w:rFonts w:asciiTheme="majorBidi" w:hAnsiTheme="majorBidi" w:cstheme="majorBidi"/>
          <w:sz w:val="20"/>
          <w:szCs w:val="20"/>
        </w:rPr>
        <w:t xml:space="preserve">, </w:t>
      </w:r>
      <w:r w:rsidR="00142517" w:rsidRPr="00142517">
        <w:rPr>
          <w:rFonts w:asciiTheme="majorBidi" w:hAnsiTheme="majorBidi" w:cstheme="majorBidi"/>
          <w:sz w:val="20"/>
          <w:szCs w:val="20"/>
        </w:rPr>
        <w:t>a significant gap in qualitative research in PHC</w:t>
      </w:r>
      <w:r w:rsidRPr="00142517">
        <w:rPr>
          <w:rFonts w:asciiTheme="majorBidi" w:hAnsiTheme="majorBidi" w:cstheme="majorBidi"/>
          <w:sz w:val="20"/>
          <w:szCs w:val="20"/>
        </w:rPr>
        <w:t xml:space="preserve"> requires further research attention. A recent study shows that multiple qualitative data repositories are currently under development (</w:t>
      </w:r>
      <w:proofErr w:type="spellStart"/>
      <w:r w:rsidRPr="00142517">
        <w:rPr>
          <w:rFonts w:asciiTheme="majorBidi" w:hAnsiTheme="majorBidi" w:cstheme="majorBidi"/>
          <w:sz w:val="20"/>
          <w:szCs w:val="20"/>
        </w:rPr>
        <w:t>Myroniuk</w:t>
      </w:r>
      <w:proofErr w:type="spellEnd"/>
      <w:r w:rsidRPr="00142517">
        <w:rPr>
          <w:rFonts w:asciiTheme="majorBidi" w:hAnsiTheme="majorBidi" w:cstheme="majorBidi"/>
          <w:sz w:val="20"/>
          <w:szCs w:val="20"/>
        </w:rPr>
        <w:t xml:space="preserve"> et al., 2021), previously known under the domain of quantitative research. These initiatives are significant, but the efficacy of these repositories in qualitative PHC research is yet to be explored. Further PHC research, therefore, should incorporate these data repositories to determine qualitative research focusing on explainable AI, data standard</w:t>
      </w:r>
      <w:r w:rsidR="00142517" w:rsidRPr="00142517">
        <w:rPr>
          <w:rFonts w:asciiTheme="majorBidi" w:hAnsiTheme="majorBidi" w:cstheme="majorBidi"/>
          <w:sz w:val="20"/>
          <w:szCs w:val="20"/>
        </w:rPr>
        <w:t>s</w:t>
      </w:r>
      <w:r w:rsidRPr="00142517">
        <w:rPr>
          <w:rFonts w:asciiTheme="majorBidi" w:hAnsiTheme="majorBidi" w:cstheme="majorBidi"/>
          <w:sz w:val="20"/>
          <w:szCs w:val="20"/>
        </w:rPr>
        <w:t xml:space="preserve"> for biosensor devices, </w:t>
      </w:r>
      <w:r w:rsidR="00142517" w:rsidRPr="00142517">
        <w:rPr>
          <w:rFonts w:asciiTheme="majorBidi" w:hAnsiTheme="majorBidi" w:cstheme="majorBidi"/>
          <w:sz w:val="20"/>
          <w:szCs w:val="20"/>
        </w:rPr>
        <w:t xml:space="preserve">and </w:t>
      </w:r>
      <w:r w:rsidRPr="00142517">
        <w:rPr>
          <w:rFonts w:asciiTheme="majorBidi" w:hAnsiTheme="majorBidi" w:cstheme="majorBidi"/>
          <w:sz w:val="20"/>
          <w:szCs w:val="20"/>
        </w:rPr>
        <w:t xml:space="preserve">affordable blockchain solutions for storage, privacy, security, interoperability, and user-centricity. </w:t>
      </w:r>
      <w:r w:rsidR="00142517" w:rsidRPr="00142517">
        <w:rPr>
          <w:rFonts w:asciiTheme="majorBidi" w:hAnsiTheme="majorBidi" w:cstheme="majorBidi"/>
          <w:sz w:val="20"/>
          <w:szCs w:val="20"/>
        </w:rPr>
        <w:t>It</w:t>
      </w:r>
      <w:r w:rsidRPr="00142517">
        <w:rPr>
          <w:rFonts w:asciiTheme="majorBidi" w:hAnsiTheme="majorBidi" w:cstheme="majorBidi"/>
          <w:sz w:val="20"/>
          <w:szCs w:val="20"/>
        </w:rPr>
        <w:t xml:space="preserve"> will enable global collaboration for interdisciplinary PHC research and contribute to the targeted sustainability </w:t>
      </w:r>
      <w:r w:rsidR="00142517" w:rsidRPr="00142517">
        <w:rPr>
          <w:rFonts w:asciiTheme="majorBidi" w:hAnsiTheme="majorBidi" w:cstheme="majorBidi"/>
          <w:sz w:val="20"/>
          <w:szCs w:val="20"/>
        </w:rPr>
        <w:t>of</w:t>
      </w:r>
      <w:r w:rsidRPr="00142517">
        <w:rPr>
          <w:rFonts w:asciiTheme="majorBidi" w:hAnsiTheme="majorBidi" w:cstheme="majorBidi"/>
          <w:sz w:val="20"/>
          <w:szCs w:val="20"/>
        </w:rPr>
        <w:t xml:space="preserve"> healthcare and</w:t>
      </w:r>
      <w:r w:rsidRPr="00421256">
        <w:rPr>
          <w:rFonts w:asciiTheme="majorBidi" w:hAnsiTheme="majorBidi" w:cstheme="majorBidi"/>
          <w:sz w:val="20"/>
          <w:szCs w:val="20"/>
        </w:rPr>
        <w:t xml:space="preserve"> the well-being of humanity.</w:t>
      </w:r>
    </w:p>
    <w:p w14:paraId="7B61B852" w14:textId="4CF9E814" w:rsidR="00637F58" w:rsidRPr="00142517" w:rsidRDefault="00637F58" w:rsidP="00637F58">
      <w:pPr>
        <w:pStyle w:val="Heading1"/>
        <w:spacing w:before="0" w:beforeAutospacing="0" w:after="0" w:afterAutospacing="0"/>
        <w:jc w:val="center"/>
        <w:rPr>
          <w:rFonts w:asciiTheme="majorBidi" w:eastAsiaTheme="minorHAnsi" w:hAnsiTheme="majorBidi" w:cstheme="majorBidi"/>
          <w:kern w:val="0"/>
          <w:sz w:val="20"/>
          <w:szCs w:val="20"/>
          <w:lang w:val="da-DK" w:eastAsia="en-US"/>
        </w:rPr>
      </w:pPr>
      <w:r w:rsidRPr="00142517">
        <w:rPr>
          <w:rFonts w:asciiTheme="majorBidi" w:eastAsiaTheme="minorHAnsi" w:hAnsiTheme="majorBidi" w:cstheme="majorBidi"/>
          <w:kern w:val="0"/>
          <w:sz w:val="20"/>
          <w:szCs w:val="20"/>
          <w:lang w:val="da-DK" w:eastAsia="en-US"/>
        </w:rPr>
        <w:t>REFERENCES</w:t>
      </w:r>
    </w:p>
    <w:p w14:paraId="01F1F616"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hAnsiTheme="majorBidi" w:cstheme="majorBidi"/>
          <w:sz w:val="20"/>
          <w:szCs w:val="20"/>
        </w:rPr>
        <w:fldChar w:fldCharType="begin"/>
      </w:r>
      <w:r w:rsidRPr="00652069">
        <w:rPr>
          <w:rFonts w:asciiTheme="majorBidi" w:hAnsiTheme="majorBidi" w:cstheme="majorBidi"/>
          <w:sz w:val="20"/>
          <w:szCs w:val="20"/>
          <w:lang w:val="da-DK"/>
        </w:rPr>
        <w:instrText xml:space="preserve"> ADDIN ZOTERO_BIBL {"uncited":[],"omitted":[],"custom":[]} CSL_BIBLIOGRAPHY </w:instrText>
      </w:r>
      <w:r w:rsidRPr="00652069">
        <w:rPr>
          <w:rFonts w:asciiTheme="majorBidi" w:hAnsiTheme="majorBidi" w:cstheme="majorBidi"/>
          <w:sz w:val="20"/>
          <w:szCs w:val="20"/>
        </w:rPr>
        <w:fldChar w:fldCharType="separate"/>
      </w:r>
      <w:r w:rsidRPr="00652069">
        <w:rPr>
          <w:rFonts w:asciiTheme="majorBidi" w:eastAsiaTheme="minorEastAsia" w:hAnsiTheme="majorBidi" w:cstheme="majorBidi"/>
          <w:sz w:val="20"/>
          <w:szCs w:val="20"/>
          <w:lang w:val="da-DK"/>
        </w:rPr>
        <w:t xml:space="preserve">Agarwal, S., Vasudevan, L., Tamrat, T., Glenton, C., Lewin, S., Bergman, H., Henschke, N., Mehl, G. L., &amp; Fønhus, M. S. (2018). </w:t>
      </w:r>
      <w:r w:rsidRPr="00652069">
        <w:rPr>
          <w:rFonts w:asciiTheme="majorBidi" w:eastAsiaTheme="minorEastAsia" w:hAnsiTheme="majorBidi" w:cstheme="majorBidi"/>
          <w:sz w:val="20"/>
          <w:szCs w:val="20"/>
        </w:rPr>
        <w:t xml:space="preserve">Digital tracking, provider decision support systems, and targeted client communication via mobile devices to improve primary health care. </w:t>
      </w:r>
      <w:r w:rsidRPr="00652069">
        <w:rPr>
          <w:rFonts w:asciiTheme="majorBidi" w:eastAsiaTheme="minorEastAsia" w:hAnsiTheme="majorBidi" w:cstheme="majorBidi"/>
          <w:i/>
          <w:iCs/>
          <w:sz w:val="20"/>
          <w:szCs w:val="20"/>
        </w:rPr>
        <w:t>The Cochrane Database of Systematic Reviews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2018</w:t>
      </w:r>
      <w:r w:rsidRPr="00652069">
        <w:rPr>
          <w:rFonts w:asciiTheme="majorBidi" w:eastAsiaTheme="minorEastAsia" w:hAnsiTheme="majorBidi" w:cstheme="majorBidi"/>
          <w:sz w:val="20"/>
          <w:szCs w:val="20"/>
        </w:rPr>
        <w:t>(1). https://doi.org/10.1002/14651858.CD012925</w:t>
      </w:r>
    </w:p>
    <w:p w14:paraId="3A7A62F0" w14:textId="031D4D6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Barker, R. W. (2017). Is precision medicine the future of healthcare? </w:t>
      </w:r>
      <w:r w:rsidRPr="00652069">
        <w:rPr>
          <w:rFonts w:asciiTheme="majorBidi" w:eastAsiaTheme="minorEastAsia" w:hAnsiTheme="majorBidi" w:cstheme="majorBidi"/>
          <w:i/>
          <w:iCs/>
          <w:sz w:val="20"/>
          <w:szCs w:val="20"/>
        </w:rPr>
        <w:t>Personali</w:t>
      </w:r>
      <w:r w:rsidR="00B1393E" w:rsidRPr="00652069">
        <w:rPr>
          <w:rFonts w:asciiTheme="majorBidi" w:eastAsiaTheme="minorEastAsia" w:hAnsiTheme="majorBidi" w:cstheme="majorBidi"/>
          <w:i/>
          <w:iCs/>
          <w:sz w:val="20"/>
          <w:szCs w:val="20"/>
        </w:rPr>
        <w:t>s</w:t>
      </w:r>
      <w:r w:rsidRPr="00652069">
        <w:rPr>
          <w:rFonts w:asciiTheme="majorBidi" w:eastAsiaTheme="minorEastAsia" w:hAnsiTheme="majorBidi" w:cstheme="majorBidi"/>
          <w:i/>
          <w:iCs/>
          <w:sz w:val="20"/>
          <w:szCs w:val="20"/>
        </w:rPr>
        <w:t>ed Medicine</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14</w:t>
      </w:r>
      <w:r w:rsidRPr="00652069">
        <w:rPr>
          <w:rFonts w:asciiTheme="majorBidi" w:eastAsiaTheme="minorEastAsia" w:hAnsiTheme="majorBidi" w:cstheme="majorBidi"/>
          <w:sz w:val="20"/>
          <w:szCs w:val="20"/>
        </w:rPr>
        <w:t>(6), 459–461. https://doi.org/10.2217/pme-2017-0060</w:t>
      </w:r>
    </w:p>
    <w:p w14:paraId="04326CD5"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Baskerville, R., Pries-Heje, J., &amp; Venable, J. (2009). </w:t>
      </w:r>
      <w:r w:rsidRPr="00652069">
        <w:rPr>
          <w:rFonts w:asciiTheme="majorBidi" w:eastAsiaTheme="minorEastAsia" w:hAnsiTheme="majorBidi" w:cstheme="majorBidi"/>
          <w:i/>
          <w:iCs/>
          <w:sz w:val="20"/>
          <w:szCs w:val="20"/>
        </w:rPr>
        <w:t>Soft Design Science Methodology</w:t>
      </w:r>
      <w:r w:rsidRPr="00652069">
        <w:rPr>
          <w:rFonts w:asciiTheme="majorBidi" w:eastAsiaTheme="minorEastAsia" w:hAnsiTheme="majorBidi" w:cstheme="majorBidi"/>
          <w:sz w:val="20"/>
          <w:szCs w:val="20"/>
        </w:rPr>
        <w:t>. 11.</w:t>
      </w:r>
    </w:p>
    <w:p w14:paraId="1D85D11E" w14:textId="241BC312"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Bigelow, K. (2018, October 2). </w:t>
      </w:r>
      <w:r w:rsidRPr="00652069">
        <w:rPr>
          <w:rFonts w:asciiTheme="majorBidi" w:eastAsiaTheme="minorEastAsia" w:hAnsiTheme="majorBidi" w:cstheme="majorBidi"/>
          <w:i/>
          <w:iCs/>
          <w:sz w:val="20"/>
          <w:szCs w:val="20"/>
        </w:rPr>
        <w:t xml:space="preserve">Ethics in </w:t>
      </w:r>
      <w:r w:rsidR="00B1393E" w:rsidRPr="00652069">
        <w:rPr>
          <w:rFonts w:asciiTheme="majorBidi" w:eastAsiaTheme="minorEastAsia" w:hAnsiTheme="majorBidi" w:cstheme="majorBidi"/>
          <w:i/>
          <w:iCs/>
          <w:sz w:val="20"/>
          <w:szCs w:val="20"/>
        </w:rPr>
        <w:t>h</w:t>
      </w:r>
      <w:r w:rsidRPr="00652069">
        <w:rPr>
          <w:rFonts w:asciiTheme="majorBidi" w:eastAsiaTheme="minorEastAsia" w:hAnsiTheme="majorBidi" w:cstheme="majorBidi"/>
          <w:i/>
          <w:iCs/>
          <w:sz w:val="20"/>
          <w:szCs w:val="20"/>
        </w:rPr>
        <w:t>ealthcare aren</w:t>
      </w:r>
      <w:r w:rsidR="00B1393E" w:rsidRPr="00652069">
        <w:rPr>
          <w:rFonts w:asciiTheme="majorBidi" w:eastAsiaTheme="minorEastAsia" w:hAnsiTheme="majorBidi" w:cstheme="majorBidi"/>
          <w:i/>
          <w:iCs/>
          <w:sz w:val="20"/>
          <w:szCs w:val="20"/>
        </w:rPr>
        <w:t>'</w:t>
      </w:r>
      <w:r w:rsidRPr="00652069">
        <w:rPr>
          <w:rFonts w:asciiTheme="majorBidi" w:eastAsiaTheme="minorEastAsia" w:hAnsiTheme="majorBidi" w:cstheme="majorBidi"/>
          <w:i/>
          <w:iCs/>
          <w:sz w:val="20"/>
          <w:szCs w:val="20"/>
        </w:rPr>
        <w:t>t New, but Their Application has Never been More Important</w:t>
      </w:r>
      <w:r w:rsidRPr="00652069">
        <w:rPr>
          <w:rFonts w:asciiTheme="majorBidi" w:eastAsiaTheme="minorEastAsia" w:hAnsiTheme="majorBidi" w:cstheme="majorBidi"/>
          <w:sz w:val="20"/>
          <w:szCs w:val="20"/>
        </w:rPr>
        <w:t>. http://newsroom.gehealthcare.com/ethics-healthcare-arent-new-application-important/</w:t>
      </w:r>
    </w:p>
    <w:p w14:paraId="31B4260B" w14:textId="7693B2A6"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Bíró, K., Dombrádi, V., Jani, A., Boruzs, K., &amp; Gray, M. (2018). Creating a common language: Defining individuali</w:t>
      </w:r>
      <w:r w:rsidR="00B1393E" w:rsidRPr="00652069">
        <w:rPr>
          <w:rFonts w:asciiTheme="majorBidi" w:eastAsiaTheme="minorEastAsia" w:hAnsiTheme="majorBidi" w:cstheme="majorBidi"/>
          <w:sz w:val="20"/>
          <w:szCs w:val="20"/>
        </w:rPr>
        <w:t>s</w:t>
      </w:r>
      <w:r w:rsidRPr="00652069">
        <w:rPr>
          <w:rFonts w:asciiTheme="majorBidi" w:eastAsiaTheme="minorEastAsia" w:hAnsiTheme="majorBidi" w:cstheme="majorBidi"/>
          <w:sz w:val="20"/>
          <w:szCs w:val="20"/>
        </w:rPr>
        <w:t>ed, personali</w:t>
      </w:r>
      <w:r w:rsidR="00B1393E" w:rsidRPr="00652069">
        <w:rPr>
          <w:rFonts w:asciiTheme="majorBidi" w:eastAsiaTheme="minorEastAsia" w:hAnsiTheme="majorBidi" w:cstheme="majorBidi"/>
          <w:sz w:val="20"/>
          <w:szCs w:val="20"/>
        </w:rPr>
        <w:t>s</w:t>
      </w:r>
      <w:r w:rsidRPr="00652069">
        <w:rPr>
          <w:rFonts w:asciiTheme="majorBidi" w:eastAsiaTheme="minorEastAsia" w:hAnsiTheme="majorBidi" w:cstheme="majorBidi"/>
          <w:sz w:val="20"/>
          <w:szCs w:val="20"/>
        </w:rPr>
        <w:t xml:space="preserve">ed and precision prevention in public health. </w:t>
      </w:r>
      <w:r w:rsidRPr="00652069">
        <w:rPr>
          <w:rFonts w:asciiTheme="majorBidi" w:eastAsiaTheme="minorEastAsia" w:hAnsiTheme="majorBidi" w:cstheme="majorBidi"/>
          <w:i/>
          <w:iCs/>
          <w:sz w:val="20"/>
          <w:szCs w:val="20"/>
        </w:rPr>
        <w:t>Public Health</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40</w:t>
      </w:r>
      <w:r w:rsidRPr="00652069">
        <w:rPr>
          <w:rFonts w:asciiTheme="majorBidi" w:eastAsiaTheme="minorEastAsia" w:hAnsiTheme="majorBidi" w:cstheme="majorBidi"/>
          <w:sz w:val="20"/>
          <w:szCs w:val="20"/>
        </w:rPr>
        <w:t>(4), 552–559. https://doi.org/10.1093/pubmed/fdy066</w:t>
      </w:r>
    </w:p>
    <w:p w14:paraId="67244C09"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Bondi, A. B. (2000). Characteristics of scalability and their impact on performance. </w:t>
      </w:r>
      <w:r w:rsidRPr="00652069">
        <w:rPr>
          <w:rFonts w:asciiTheme="majorBidi" w:eastAsiaTheme="minorEastAsia" w:hAnsiTheme="majorBidi" w:cstheme="majorBidi"/>
          <w:i/>
          <w:iCs/>
          <w:sz w:val="20"/>
          <w:szCs w:val="20"/>
        </w:rPr>
        <w:t>Proceedings of the 2nd International Workshop on Software and Performance</w:t>
      </w:r>
      <w:r w:rsidRPr="00652069">
        <w:rPr>
          <w:rFonts w:asciiTheme="majorBidi" w:eastAsiaTheme="minorEastAsia" w:hAnsiTheme="majorBidi" w:cstheme="majorBidi"/>
          <w:sz w:val="20"/>
          <w:szCs w:val="20"/>
        </w:rPr>
        <w:t>, 195–203. https://doi.org/10.1145/350391.350432</w:t>
      </w:r>
    </w:p>
    <w:p w14:paraId="7685DF8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Borde, D. de. (2007). Selecting a two-factor authentication system. </w:t>
      </w:r>
      <w:r w:rsidRPr="00652069">
        <w:rPr>
          <w:rFonts w:asciiTheme="majorBidi" w:eastAsiaTheme="minorEastAsia" w:hAnsiTheme="majorBidi" w:cstheme="majorBidi"/>
          <w:i/>
          <w:iCs/>
          <w:sz w:val="20"/>
          <w:szCs w:val="20"/>
        </w:rPr>
        <w:t>Network Security</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2007</w:t>
      </w:r>
      <w:r w:rsidRPr="00652069">
        <w:rPr>
          <w:rFonts w:asciiTheme="majorBidi" w:eastAsiaTheme="minorEastAsia" w:hAnsiTheme="majorBidi" w:cstheme="majorBidi"/>
          <w:sz w:val="20"/>
          <w:szCs w:val="20"/>
        </w:rPr>
        <w:t>(7), 17–20. https://doi.org/10.1016/S1353-4858(07)70066-1</w:t>
      </w:r>
    </w:p>
    <w:p w14:paraId="08DCBA86" w14:textId="482C923E"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Brothers, K. B., &amp; Rothstein, M. A. (2015). Ethical, legal and social implications of incorporating personali</w:t>
      </w:r>
      <w:r w:rsidR="00B1393E" w:rsidRPr="00652069">
        <w:rPr>
          <w:rFonts w:asciiTheme="majorBidi" w:eastAsiaTheme="minorEastAsia" w:hAnsiTheme="majorBidi" w:cstheme="majorBidi"/>
          <w:sz w:val="20"/>
          <w:szCs w:val="20"/>
        </w:rPr>
        <w:t>s</w:t>
      </w:r>
      <w:r w:rsidRPr="00652069">
        <w:rPr>
          <w:rFonts w:asciiTheme="majorBidi" w:eastAsiaTheme="minorEastAsia" w:hAnsiTheme="majorBidi" w:cstheme="majorBidi"/>
          <w:sz w:val="20"/>
          <w:szCs w:val="20"/>
        </w:rPr>
        <w:t xml:space="preserve">ed medicine into healthcare. </w:t>
      </w:r>
      <w:r w:rsidRPr="00652069">
        <w:rPr>
          <w:rFonts w:asciiTheme="majorBidi" w:eastAsiaTheme="minorEastAsia" w:hAnsiTheme="majorBidi" w:cstheme="majorBidi"/>
          <w:i/>
          <w:iCs/>
          <w:sz w:val="20"/>
          <w:szCs w:val="20"/>
        </w:rPr>
        <w:t>Personali</w:t>
      </w:r>
      <w:r w:rsidR="00B1393E" w:rsidRPr="00652069">
        <w:rPr>
          <w:rFonts w:asciiTheme="majorBidi" w:eastAsiaTheme="minorEastAsia" w:hAnsiTheme="majorBidi" w:cstheme="majorBidi"/>
          <w:i/>
          <w:iCs/>
          <w:sz w:val="20"/>
          <w:szCs w:val="20"/>
        </w:rPr>
        <w:t>s</w:t>
      </w:r>
      <w:r w:rsidRPr="00652069">
        <w:rPr>
          <w:rFonts w:asciiTheme="majorBidi" w:eastAsiaTheme="minorEastAsia" w:hAnsiTheme="majorBidi" w:cstheme="majorBidi"/>
          <w:i/>
          <w:iCs/>
          <w:sz w:val="20"/>
          <w:szCs w:val="20"/>
        </w:rPr>
        <w:t>ed Medicine</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12</w:t>
      </w:r>
      <w:r w:rsidRPr="00652069">
        <w:rPr>
          <w:rFonts w:asciiTheme="majorBidi" w:eastAsiaTheme="minorEastAsia" w:hAnsiTheme="majorBidi" w:cstheme="majorBidi"/>
          <w:sz w:val="20"/>
          <w:szCs w:val="20"/>
        </w:rPr>
        <w:t>(1), 43–51. https://doi.org/10.2217/pme.14.65</w:t>
      </w:r>
    </w:p>
    <w:p w14:paraId="16EC6BFE"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Checkland, P., &amp; Poulter, J. (2010). Soft Systems Methodology. In M. Reynolds &amp; S. Holwell (Eds.), </w:t>
      </w:r>
      <w:r w:rsidRPr="00652069">
        <w:rPr>
          <w:rFonts w:asciiTheme="majorBidi" w:eastAsiaTheme="minorEastAsia" w:hAnsiTheme="majorBidi" w:cstheme="majorBidi"/>
          <w:i/>
          <w:iCs/>
          <w:sz w:val="20"/>
          <w:szCs w:val="20"/>
        </w:rPr>
        <w:t>Systems Approaches to Managing Change: A Practical Guide</w:t>
      </w:r>
      <w:r w:rsidRPr="00652069">
        <w:rPr>
          <w:rFonts w:asciiTheme="majorBidi" w:eastAsiaTheme="minorEastAsia" w:hAnsiTheme="majorBidi" w:cstheme="majorBidi"/>
          <w:sz w:val="20"/>
          <w:szCs w:val="20"/>
        </w:rPr>
        <w:t xml:space="preserve"> (pp. 191–242). Springer London. https://doi.org/10.1007/978-1-84882-809-4_5</w:t>
      </w:r>
    </w:p>
    <w:p w14:paraId="06F7A36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Checkland, P., &amp; Scholes, J. (1999). </w:t>
      </w:r>
      <w:r w:rsidRPr="00652069">
        <w:rPr>
          <w:rFonts w:asciiTheme="majorBidi" w:eastAsiaTheme="minorEastAsia" w:hAnsiTheme="majorBidi" w:cstheme="majorBidi"/>
          <w:i/>
          <w:iCs/>
          <w:sz w:val="20"/>
          <w:szCs w:val="20"/>
        </w:rPr>
        <w:t>Soft Systems Methodology in Action</w:t>
      </w:r>
      <w:r w:rsidRPr="00652069">
        <w:rPr>
          <w:rFonts w:asciiTheme="majorBidi" w:eastAsiaTheme="minorEastAsia" w:hAnsiTheme="majorBidi" w:cstheme="majorBidi"/>
          <w:sz w:val="20"/>
          <w:szCs w:val="20"/>
        </w:rPr>
        <w:t>. Wiley.</w:t>
      </w:r>
    </w:p>
    <w:p w14:paraId="65455042" w14:textId="4D9FBD2C"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Cheon, E., Jarrahi, M. H., &amp; Su, N. M. (2016). </w:t>
      </w:r>
      <w:r w:rsidR="00B1393E" w:rsidRPr="00652069">
        <w:rPr>
          <w:rFonts w:asciiTheme="majorBidi" w:eastAsiaTheme="minorEastAsia" w:hAnsiTheme="majorBidi" w:cstheme="majorBidi"/>
          <w:sz w:val="20"/>
          <w:szCs w:val="20"/>
        </w:rPr>
        <w:t>"</w:t>
      </w:r>
      <w:r w:rsidRPr="00652069">
        <w:rPr>
          <w:rFonts w:asciiTheme="majorBidi" w:eastAsiaTheme="minorEastAsia" w:hAnsiTheme="majorBidi" w:cstheme="majorBidi"/>
          <w:sz w:val="20"/>
          <w:szCs w:val="20"/>
        </w:rPr>
        <w:t>Technology isn</w:t>
      </w:r>
      <w:r w:rsidR="00B1393E" w:rsidRPr="00652069">
        <w:rPr>
          <w:rFonts w:asciiTheme="majorBidi" w:eastAsiaTheme="minorEastAsia" w:hAnsiTheme="majorBidi" w:cstheme="majorBidi"/>
          <w:sz w:val="20"/>
          <w:szCs w:val="20"/>
        </w:rPr>
        <w:t>'</w:t>
      </w:r>
      <w:r w:rsidRPr="00652069">
        <w:rPr>
          <w:rFonts w:asciiTheme="majorBidi" w:eastAsiaTheme="minorEastAsia" w:hAnsiTheme="majorBidi" w:cstheme="majorBidi"/>
          <w:sz w:val="20"/>
          <w:szCs w:val="20"/>
        </w:rPr>
        <w:t>t Always the Best</w:t>
      </w:r>
      <w:r w:rsidR="00B1393E" w:rsidRPr="00652069">
        <w:rPr>
          <w:rFonts w:asciiTheme="majorBidi" w:eastAsiaTheme="minorEastAsia" w:hAnsiTheme="majorBidi" w:cstheme="majorBidi"/>
          <w:sz w:val="20"/>
          <w:szCs w:val="20"/>
        </w:rPr>
        <w:t>"</w:t>
      </w:r>
      <w:r w:rsidRPr="00652069">
        <w:rPr>
          <w:rFonts w:asciiTheme="majorBidi" w:eastAsiaTheme="minorEastAsia" w:hAnsiTheme="majorBidi" w:cstheme="majorBidi"/>
          <w:sz w:val="20"/>
          <w:szCs w:val="20"/>
        </w:rPr>
        <w:t xml:space="preserve">: The Intersection of Health Tracking Technologies and Information Practices of Digital Natives. </w:t>
      </w:r>
      <w:r w:rsidRPr="00652069">
        <w:rPr>
          <w:rFonts w:asciiTheme="majorBidi" w:eastAsiaTheme="minorEastAsia" w:hAnsiTheme="majorBidi" w:cstheme="majorBidi"/>
          <w:i/>
          <w:iCs/>
          <w:sz w:val="20"/>
          <w:szCs w:val="20"/>
        </w:rPr>
        <w:t>2016 IEEE International Conference on Healthcare Informatics (ICHI)</w:t>
      </w:r>
      <w:r w:rsidRPr="00652069">
        <w:rPr>
          <w:rFonts w:asciiTheme="majorBidi" w:eastAsiaTheme="minorEastAsia" w:hAnsiTheme="majorBidi" w:cstheme="majorBidi"/>
          <w:sz w:val="20"/>
          <w:szCs w:val="20"/>
        </w:rPr>
        <w:t>, 207–215. https://doi.org/10.1109/ICHI.2016.30</w:t>
      </w:r>
    </w:p>
    <w:p w14:paraId="2F24CEA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Classification of Digital Health Interventions v 1.0</w:t>
      </w:r>
      <w:r w:rsidRPr="00652069">
        <w:rPr>
          <w:rFonts w:asciiTheme="majorBidi" w:eastAsiaTheme="minorEastAsia" w:hAnsiTheme="majorBidi" w:cstheme="majorBidi"/>
          <w:sz w:val="20"/>
          <w:szCs w:val="20"/>
        </w:rPr>
        <w:t>. (2018). World Health Organization. https://apps.who.int/iris/bitstream/handle/10665/260480/WHO-RHR-18.06-eng.pdf</w:t>
      </w:r>
    </w:p>
    <w:p w14:paraId="32183B2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Code of Conduct for Data-Driven Health and Care Technology</w:t>
      </w:r>
      <w:r w:rsidRPr="00652069">
        <w:rPr>
          <w:rFonts w:asciiTheme="majorBidi" w:eastAsiaTheme="minorEastAsia" w:hAnsiTheme="majorBidi" w:cstheme="majorBidi"/>
          <w:sz w:val="20"/>
          <w:szCs w:val="20"/>
        </w:rPr>
        <w:t>. (2019). UK Department of Health &amp; Social Care. https://www.gov.uk/government/publications/code-of-conduct-for-data-driven-health-and-care-technology/initial-code-of-conduct-for-data-driven-health-and-care-technology#principle-6-be-transparent-about-the-limitations-of-the-data-used</w:t>
      </w:r>
    </w:p>
    <w:p w14:paraId="66A2FFC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Connected Health: Empowering Health Through Interoperability</w:t>
      </w:r>
      <w:r w:rsidRPr="00652069">
        <w:rPr>
          <w:rFonts w:asciiTheme="majorBidi" w:eastAsiaTheme="minorEastAsia" w:hAnsiTheme="majorBidi" w:cstheme="majorBidi"/>
          <w:sz w:val="20"/>
          <w:szCs w:val="20"/>
        </w:rPr>
        <w:t>. (2019). Global Digital Health Partnership (GDHP). https://s3-ap-southeast-2.amazonaws.com/ehq-production-australia/57f9a51462d5e3f07569d55232fcc11290b99cd6/documents/attachments/000/102/278/original/GDHP_Interop_2.05.pdf</w:t>
      </w:r>
    </w:p>
    <w:p w14:paraId="163AFAEA"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Cordina, J., &amp; Greenberg, S. (2019). </w:t>
      </w:r>
      <w:r w:rsidRPr="00652069">
        <w:rPr>
          <w:rFonts w:asciiTheme="majorBidi" w:eastAsiaTheme="minorEastAsia" w:hAnsiTheme="majorBidi" w:cstheme="majorBidi"/>
          <w:i/>
          <w:iCs/>
          <w:sz w:val="20"/>
          <w:szCs w:val="20"/>
        </w:rPr>
        <w:t>Consumer Decision Making in Healthcare: The Role of Information Transparency</w:t>
      </w:r>
      <w:r w:rsidRPr="00652069">
        <w:rPr>
          <w:rFonts w:asciiTheme="majorBidi" w:eastAsiaTheme="minorEastAsia" w:hAnsiTheme="majorBidi" w:cstheme="majorBidi"/>
          <w:sz w:val="20"/>
          <w:szCs w:val="20"/>
        </w:rPr>
        <w:t xml:space="preserve"> (p. 12). Mckinsey &amp; Company. https://www.mckinsey.com/industries/healthcare-systems-and-services/our-insights/consumer-decision-making-in-healthcare-the-role-of-information-transparency</w:t>
      </w:r>
    </w:p>
    <w:p w14:paraId="6FB8AE62"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lastRenderedPageBreak/>
        <w:t xml:space="preserve">Crawford, K., Lingel, J., &amp; Karppi, T. (2015). Our metrics, ourselves: A hundred years of self-tracking from the weight scale to the wrist wearable device. </w:t>
      </w:r>
      <w:r w:rsidRPr="00652069">
        <w:rPr>
          <w:rFonts w:asciiTheme="majorBidi" w:eastAsiaTheme="minorEastAsia" w:hAnsiTheme="majorBidi" w:cstheme="majorBidi"/>
          <w:i/>
          <w:iCs/>
          <w:sz w:val="20"/>
          <w:szCs w:val="20"/>
        </w:rPr>
        <w:t>European Journal of Cultural Studies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18</w:t>
      </w:r>
      <w:r w:rsidRPr="00652069">
        <w:rPr>
          <w:rFonts w:asciiTheme="majorBidi" w:eastAsiaTheme="minorEastAsia" w:hAnsiTheme="majorBidi" w:cstheme="majorBidi"/>
          <w:sz w:val="20"/>
          <w:szCs w:val="20"/>
        </w:rPr>
        <w:t>(4–5), 479–496. https://doi.org/10.1177/1367549415584857</w:t>
      </w:r>
    </w:p>
    <w:p w14:paraId="1B06DB77"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Cresswell, K. M., Bates, D. W., &amp; Sheikh, A. (2013). Ten key considerations for the successful implementation and adoption of large-scale health information technology. </w:t>
      </w:r>
      <w:r w:rsidRPr="00652069">
        <w:rPr>
          <w:rFonts w:asciiTheme="majorBidi" w:eastAsiaTheme="minorEastAsia" w:hAnsiTheme="majorBidi" w:cstheme="majorBidi"/>
          <w:i/>
          <w:iCs/>
          <w:sz w:val="20"/>
          <w:szCs w:val="20"/>
        </w:rPr>
        <w:t>Journal of the American Medical Informatics Association: JAMIA</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20</w:t>
      </w:r>
      <w:r w:rsidRPr="00652069">
        <w:rPr>
          <w:rFonts w:asciiTheme="majorBidi" w:eastAsiaTheme="minorEastAsia" w:hAnsiTheme="majorBidi" w:cstheme="majorBidi"/>
          <w:sz w:val="20"/>
          <w:szCs w:val="20"/>
        </w:rPr>
        <w:t>(e1), e9–e13. https://doi.org/10.1136/amiajnl-2013-001684</w:t>
      </w:r>
    </w:p>
    <w:p w14:paraId="711E336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Digital health: Heaven or hell?</w:t>
      </w:r>
      <w:r w:rsidRPr="00652069">
        <w:rPr>
          <w:rFonts w:asciiTheme="majorBidi" w:eastAsiaTheme="minorEastAsia" w:hAnsiTheme="majorBidi" w:cstheme="majorBidi"/>
          <w:sz w:val="20"/>
          <w:szCs w:val="20"/>
        </w:rPr>
        <w:t xml:space="preserve"> (p. 36). (2016).</w:t>
      </w:r>
    </w:p>
    <w:p w14:paraId="2EA7DC9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Digital Transformation of Industries: Healthcare</w:t>
      </w:r>
      <w:r w:rsidRPr="00652069">
        <w:rPr>
          <w:rFonts w:asciiTheme="majorBidi" w:eastAsiaTheme="minorEastAsia" w:hAnsiTheme="majorBidi" w:cstheme="majorBidi"/>
          <w:sz w:val="20"/>
          <w:szCs w:val="20"/>
        </w:rPr>
        <w:t xml:space="preserve"> (p. 36). (2016). World Economic Forum. http://reports.weforum.org/digital-transformation/wp-content/blogs.dir/94/mp/files/pages/files/wef-dti-healthcarewhitepaper-final-january-2016.pdf</w:t>
      </w:r>
    </w:p>
    <w:p w14:paraId="78C5D68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eHealth Stakeholder Group report: Perspectives and Recommendations on Interoperability</w:t>
      </w:r>
      <w:r w:rsidRPr="00652069">
        <w:rPr>
          <w:rFonts w:asciiTheme="majorBidi" w:eastAsiaTheme="minorEastAsia" w:hAnsiTheme="majorBidi" w:cstheme="majorBidi"/>
          <w:sz w:val="20"/>
          <w:szCs w:val="20"/>
        </w:rPr>
        <w:t>. (2014). [Final Report]. European Commission. http://ec.europa.eu/information_society/newsroom/cf/dae/document.cfm?doc_id=5168</w:t>
      </w:r>
    </w:p>
    <w:p w14:paraId="58C4052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Fernandez-Aleman, J. L., Sanchez Garcia, A. B., Garcia-Mateos, G., &amp; Toval, A. (2015). Technical solutions for mitigating security threats caused by health professionals in clinical settings. </w:t>
      </w:r>
      <w:r w:rsidRPr="00652069">
        <w:rPr>
          <w:rFonts w:asciiTheme="majorBidi" w:eastAsiaTheme="minorEastAsia" w:hAnsiTheme="majorBidi" w:cstheme="majorBidi"/>
          <w:i/>
          <w:iCs/>
          <w:sz w:val="20"/>
          <w:szCs w:val="20"/>
        </w:rPr>
        <w:t>2015 37th Annual International Conference of the IEEE Engineering in Medicine and Biology Society (EMBC)</w:t>
      </w:r>
      <w:r w:rsidRPr="00652069">
        <w:rPr>
          <w:rFonts w:asciiTheme="majorBidi" w:eastAsiaTheme="minorEastAsia" w:hAnsiTheme="majorBidi" w:cstheme="majorBidi"/>
          <w:sz w:val="20"/>
          <w:szCs w:val="20"/>
        </w:rPr>
        <w:t>, 1389–1392. https://doi.org/10.1109/EMBC.2015.7318628</w:t>
      </w:r>
    </w:p>
    <w:p w14:paraId="7306C325"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lang w:val="it-IT"/>
        </w:rPr>
        <w:t xml:space="preserve">Ferranti, J. M., Musser, R. C., Kawamoto, K., &amp; Hammond, W. E. (2006). </w:t>
      </w:r>
      <w:r w:rsidRPr="00652069">
        <w:rPr>
          <w:rFonts w:asciiTheme="majorBidi" w:eastAsiaTheme="minorEastAsia" w:hAnsiTheme="majorBidi" w:cstheme="majorBidi"/>
          <w:sz w:val="20"/>
          <w:szCs w:val="20"/>
        </w:rPr>
        <w:t xml:space="preserve">The Clinical Document Architecture and the Continuity of Care Record: A Critical Analysis. </w:t>
      </w:r>
      <w:r w:rsidRPr="00652069">
        <w:rPr>
          <w:rFonts w:asciiTheme="majorBidi" w:eastAsiaTheme="minorEastAsia" w:hAnsiTheme="majorBidi" w:cstheme="majorBidi"/>
          <w:i/>
          <w:iCs/>
          <w:sz w:val="20"/>
          <w:szCs w:val="20"/>
        </w:rPr>
        <w:t>Journal of the American Medical Informatics Association : JAMIA</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13</w:t>
      </w:r>
      <w:r w:rsidRPr="00652069">
        <w:rPr>
          <w:rFonts w:asciiTheme="majorBidi" w:eastAsiaTheme="minorEastAsia" w:hAnsiTheme="majorBidi" w:cstheme="majorBidi"/>
          <w:sz w:val="20"/>
          <w:szCs w:val="20"/>
        </w:rPr>
        <w:t>(3), 245–252. https://doi.org/10.1197/jamia.M1963</w:t>
      </w:r>
    </w:p>
    <w:p w14:paraId="657946B2"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Final draft of the Code of Conduct on privacy for mHealth apps</w:t>
      </w:r>
      <w:r w:rsidRPr="00652069">
        <w:rPr>
          <w:rFonts w:asciiTheme="majorBidi" w:eastAsiaTheme="minorEastAsia" w:hAnsiTheme="majorBidi" w:cstheme="majorBidi"/>
          <w:sz w:val="20"/>
          <w:szCs w:val="20"/>
        </w:rPr>
        <w:t>, (2016). https://ec.europa.eu/digital-single-market/en/news/code-conduct-privacy-mhealth-apps-has-been-finalised</w:t>
      </w:r>
    </w:p>
    <w:p w14:paraId="7899F600"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Frøen, J. F., Myhre, S. L., Frost, M. J., Chou, D., Mehl, G., Say, L., Cheng, S., Fjeldheim, I., Friberg, I. K., French, S., Jani, J. V., Kaye, J., Lewis, J., Lunde, A., Mørkrid, K., Nankabirwa, V., Nyanchoka, L., Stone, H., Venkateswaran, M., … Flenady, V. J. (2016). eRegistries: Electronic registries for maternal and child health. </w:t>
      </w:r>
      <w:r w:rsidRPr="00652069">
        <w:rPr>
          <w:rFonts w:asciiTheme="majorBidi" w:eastAsiaTheme="minorEastAsia" w:hAnsiTheme="majorBidi" w:cstheme="majorBidi"/>
          <w:i/>
          <w:iCs/>
          <w:sz w:val="20"/>
          <w:szCs w:val="20"/>
        </w:rPr>
        <w:t>BMC Pregnancy and Childbirth</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16</w:t>
      </w:r>
      <w:r w:rsidRPr="00652069">
        <w:rPr>
          <w:rFonts w:asciiTheme="majorBidi" w:eastAsiaTheme="minorEastAsia" w:hAnsiTheme="majorBidi" w:cstheme="majorBidi"/>
          <w:sz w:val="20"/>
          <w:szCs w:val="20"/>
        </w:rPr>
        <w:t>(1), 11. https://doi.org/10.1186/s12884-016-0801-7</w:t>
      </w:r>
    </w:p>
    <w:p w14:paraId="457F47F3"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General Data Protection Regulation</w:t>
      </w:r>
      <w:r w:rsidRPr="00652069">
        <w:rPr>
          <w:rFonts w:asciiTheme="majorBidi" w:eastAsiaTheme="minorEastAsia" w:hAnsiTheme="majorBidi" w:cstheme="majorBidi"/>
          <w:sz w:val="20"/>
          <w:szCs w:val="20"/>
        </w:rPr>
        <w:t>. (2018, May 25). General Data Protection Regulation (GDPR). https://gdpr-info.eu/</w:t>
      </w:r>
    </w:p>
    <w:p w14:paraId="3EF8091F"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Hevner, A. R., March, S. T., Park, J., &amp; Ram, S. (2004). Design Science in Information Systems Research. </w:t>
      </w:r>
      <w:r w:rsidRPr="00652069">
        <w:rPr>
          <w:rFonts w:asciiTheme="majorBidi" w:eastAsiaTheme="minorEastAsia" w:hAnsiTheme="majorBidi" w:cstheme="majorBidi"/>
          <w:i/>
          <w:iCs/>
          <w:sz w:val="20"/>
          <w:szCs w:val="20"/>
        </w:rPr>
        <w:t>MIS Quaterly</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28</w:t>
      </w:r>
      <w:r w:rsidRPr="00652069">
        <w:rPr>
          <w:rFonts w:asciiTheme="majorBidi" w:eastAsiaTheme="minorEastAsia" w:hAnsiTheme="majorBidi" w:cstheme="majorBidi"/>
          <w:sz w:val="20"/>
          <w:szCs w:val="20"/>
        </w:rPr>
        <w:t>(1), 75–105.</w:t>
      </w:r>
    </w:p>
    <w:p w14:paraId="4C82CDEA"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Hull, S. C. (2018). Are we ready for precision health? </w:t>
      </w:r>
      <w:r w:rsidRPr="00652069">
        <w:rPr>
          <w:rFonts w:asciiTheme="majorBidi" w:eastAsiaTheme="minorEastAsia" w:hAnsiTheme="majorBidi" w:cstheme="majorBidi"/>
          <w:i/>
          <w:iCs/>
          <w:sz w:val="20"/>
          <w:szCs w:val="20"/>
        </w:rPr>
        <w:t>Nursing Management (Springhouse)</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49</w:t>
      </w:r>
      <w:r w:rsidRPr="00652069">
        <w:rPr>
          <w:rFonts w:asciiTheme="majorBidi" w:eastAsiaTheme="minorEastAsia" w:hAnsiTheme="majorBidi" w:cstheme="majorBidi"/>
          <w:sz w:val="20"/>
          <w:szCs w:val="20"/>
        </w:rPr>
        <w:t>(7), 9–11. https://doi.org/10.1097/01.NUMA.0000538923.68406.3c</w:t>
      </w:r>
    </w:p>
    <w:p w14:paraId="51227A2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Imison, C., Castle-Clarke, S., Watson, R., &amp; Edwards, N. (2016). </w:t>
      </w:r>
      <w:r w:rsidRPr="00652069">
        <w:rPr>
          <w:rFonts w:asciiTheme="majorBidi" w:eastAsiaTheme="minorEastAsia" w:hAnsiTheme="majorBidi" w:cstheme="majorBidi"/>
          <w:i/>
          <w:iCs/>
          <w:sz w:val="20"/>
          <w:szCs w:val="20"/>
        </w:rPr>
        <w:t>Delivering the Benefits of Digital Health Care</w:t>
      </w:r>
      <w:r w:rsidRPr="00652069">
        <w:rPr>
          <w:rFonts w:asciiTheme="majorBidi" w:eastAsiaTheme="minorEastAsia" w:hAnsiTheme="majorBidi" w:cstheme="majorBidi"/>
          <w:sz w:val="20"/>
          <w:szCs w:val="20"/>
        </w:rPr>
        <w:t xml:space="preserve"> (p. 108). Nuffield Trust. https://www.nuffieldtrust.org.uk/research/delivering-the-benefits-of-digital-health-care</w:t>
      </w:r>
    </w:p>
    <w:p w14:paraId="32B5E6F7"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Interoperability in Healthcare</w:t>
      </w:r>
      <w:r w:rsidRPr="00652069">
        <w:rPr>
          <w:rFonts w:asciiTheme="majorBidi" w:eastAsiaTheme="minorEastAsia" w:hAnsiTheme="majorBidi" w:cstheme="majorBidi"/>
          <w:sz w:val="20"/>
          <w:szCs w:val="20"/>
        </w:rPr>
        <w:t>. (2020, July 30). Healthcare Information and Management Systems Society. https://www.himss.org/resources/interoperability-healthcare</w:t>
      </w:r>
    </w:p>
    <w:p w14:paraId="076A6AA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Jackson, D., Wenz, K., Muniz, M., Abouzahr, C., Schmider, A., Braschi, M. W., Kassam, N., Diaz, T., Mwamba, R., Setel, P., &amp; Mills, S. (2018). Civil registration and vital statistics in health systems. </w:t>
      </w:r>
      <w:r w:rsidRPr="00652069">
        <w:rPr>
          <w:rFonts w:asciiTheme="majorBidi" w:eastAsiaTheme="minorEastAsia" w:hAnsiTheme="majorBidi" w:cstheme="majorBidi"/>
          <w:i/>
          <w:iCs/>
          <w:sz w:val="20"/>
          <w:szCs w:val="20"/>
        </w:rPr>
        <w:t>Bulletin of the World Health Organization</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96</w:t>
      </w:r>
      <w:r w:rsidRPr="00652069">
        <w:rPr>
          <w:rFonts w:asciiTheme="majorBidi" w:eastAsiaTheme="minorEastAsia" w:hAnsiTheme="majorBidi" w:cstheme="majorBidi"/>
          <w:sz w:val="20"/>
          <w:szCs w:val="20"/>
        </w:rPr>
        <w:t>(12), 861–863. https://doi.org/10.2471/BLT.18.213090</w:t>
      </w:r>
    </w:p>
    <w:p w14:paraId="188B1344" w14:textId="3D184E04"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Labrique, A. B., Wadhwani, C., Williams, K. A., Lamptey, P., Hesp, C., Luk, R., &amp; Aerts, A. (2018). Best practices in scaling digital health in low and middle income countries. </w:t>
      </w:r>
      <w:r w:rsidRPr="00652069">
        <w:rPr>
          <w:rFonts w:asciiTheme="majorBidi" w:eastAsiaTheme="minorEastAsia" w:hAnsiTheme="majorBidi" w:cstheme="majorBidi"/>
          <w:i/>
          <w:iCs/>
          <w:sz w:val="20"/>
          <w:szCs w:val="20"/>
        </w:rPr>
        <w:t>Globali</w:t>
      </w:r>
      <w:r w:rsidR="00B1393E" w:rsidRPr="00652069">
        <w:rPr>
          <w:rFonts w:asciiTheme="majorBidi" w:eastAsiaTheme="minorEastAsia" w:hAnsiTheme="majorBidi" w:cstheme="majorBidi"/>
          <w:i/>
          <w:iCs/>
          <w:sz w:val="20"/>
          <w:szCs w:val="20"/>
        </w:rPr>
        <w:t>s</w:t>
      </w:r>
      <w:r w:rsidRPr="00652069">
        <w:rPr>
          <w:rFonts w:asciiTheme="majorBidi" w:eastAsiaTheme="minorEastAsia" w:hAnsiTheme="majorBidi" w:cstheme="majorBidi"/>
          <w:i/>
          <w:iCs/>
          <w:sz w:val="20"/>
          <w:szCs w:val="20"/>
        </w:rPr>
        <w:t>ation and Health</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14</w:t>
      </w:r>
      <w:r w:rsidRPr="00652069">
        <w:rPr>
          <w:rFonts w:asciiTheme="majorBidi" w:eastAsiaTheme="minorEastAsia" w:hAnsiTheme="majorBidi" w:cstheme="majorBidi"/>
          <w:sz w:val="20"/>
          <w:szCs w:val="20"/>
        </w:rPr>
        <w:t>(1), 103. https://doi.org/10.1186/s12992-018-0424-z</w:t>
      </w:r>
    </w:p>
    <w:p w14:paraId="2A6ED5D2"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Liaw, S.-T., Taggart, J., Yu, H., Lusignan, S. de, Kuziemsky, C., &amp; Hayen, A. (2014). Integrating electronic health record information to support integrated care: Practical application of ontologies to improve the accuracy of diabetes disease registers. </w:t>
      </w:r>
      <w:r w:rsidRPr="00652069">
        <w:rPr>
          <w:rFonts w:asciiTheme="majorBidi" w:eastAsiaTheme="minorEastAsia" w:hAnsiTheme="majorBidi" w:cstheme="majorBidi"/>
          <w:i/>
          <w:iCs/>
          <w:sz w:val="20"/>
          <w:szCs w:val="20"/>
        </w:rPr>
        <w:t>Journal of Biomedical Informatics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52</w:t>
      </w:r>
      <w:r w:rsidRPr="00652069">
        <w:rPr>
          <w:rFonts w:asciiTheme="majorBidi" w:eastAsiaTheme="minorEastAsia" w:hAnsiTheme="majorBidi" w:cstheme="majorBidi"/>
          <w:sz w:val="20"/>
          <w:szCs w:val="20"/>
        </w:rPr>
        <w:t>, 364–372. https://doi.org/10.1016/j.jbi.2014.07.016</w:t>
      </w:r>
    </w:p>
    <w:p w14:paraId="790DA30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Marwaha, J. S., &amp; Kvedar, J. C. (2021). Cultural adaptation: A framework for addressing an often-overlooked dimension of digital health accessibility. </w:t>
      </w:r>
      <w:r w:rsidRPr="00652069">
        <w:rPr>
          <w:rFonts w:asciiTheme="majorBidi" w:eastAsiaTheme="minorEastAsia" w:hAnsiTheme="majorBidi" w:cstheme="majorBidi"/>
          <w:i/>
          <w:iCs/>
          <w:sz w:val="20"/>
          <w:szCs w:val="20"/>
        </w:rPr>
        <w:t>Npj Digital Medicine</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4</w:t>
      </w:r>
      <w:r w:rsidRPr="00652069">
        <w:rPr>
          <w:rFonts w:asciiTheme="majorBidi" w:eastAsiaTheme="minorEastAsia" w:hAnsiTheme="majorBidi" w:cstheme="majorBidi"/>
          <w:sz w:val="20"/>
          <w:szCs w:val="20"/>
        </w:rPr>
        <w:t>(1), 143, s41746-021-00516–2. https://doi.org/10.1038/s41746-021-00516-2</w:t>
      </w:r>
    </w:p>
    <w:p w14:paraId="1B33C67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McMorrow, D. (2014). </w:t>
      </w:r>
      <w:r w:rsidRPr="00652069">
        <w:rPr>
          <w:rFonts w:asciiTheme="majorBidi" w:eastAsiaTheme="minorEastAsia" w:hAnsiTheme="majorBidi" w:cstheme="majorBidi"/>
          <w:i/>
          <w:iCs/>
          <w:sz w:val="20"/>
          <w:szCs w:val="20"/>
        </w:rPr>
        <w:t>A Robust Health Data Infrastructure</w:t>
      </w:r>
      <w:r w:rsidRPr="00652069">
        <w:rPr>
          <w:rFonts w:asciiTheme="majorBidi" w:eastAsiaTheme="minorEastAsia" w:hAnsiTheme="majorBidi" w:cstheme="majorBidi"/>
          <w:sz w:val="20"/>
          <w:szCs w:val="20"/>
        </w:rPr>
        <w:t>. Agency for Healthcare Research and Quality. https://www.healthit.gov/sites/default/files/ptp13-700hhs_white.pdf</w:t>
      </w:r>
    </w:p>
    <w:p w14:paraId="2C51A05E"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Mell, P., Scarfone, K., &amp; Romanosky, S. (2007). </w:t>
      </w:r>
      <w:r w:rsidRPr="00652069">
        <w:rPr>
          <w:rFonts w:asciiTheme="majorBidi" w:eastAsiaTheme="minorEastAsia" w:hAnsiTheme="majorBidi" w:cstheme="majorBidi"/>
          <w:i/>
          <w:iCs/>
          <w:sz w:val="20"/>
          <w:szCs w:val="20"/>
        </w:rPr>
        <w:t>A Complete Guide to the Common Vulnerability Scoring System Version 2.0</w:t>
      </w:r>
      <w:r w:rsidRPr="00652069">
        <w:rPr>
          <w:rFonts w:asciiTheme="majorBidi" w:eastAsiaTheme="minorEastAsia" w:hAnsiTheme="majorBidi" w:cstheme="majorBidi"/>
          <w:sz w:val="20"/>
          <w:szCs w:val="20"/>
        </w:rPr>
        <w:t>.</w:t>
      </w:r>
    </w:p>
    <w:p w14:paraId="52820785"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Mikkelsen, D., Soller, H., &amp; Strandell-Jansson, M. (2020, June 15). </w:t>
      </w:r>
      <w:r w:rsidRPr="00652069">
        <w:rPr>
          <w:rFonts w:asciiTheme="majorBidi" w:eastAsiaTheme="minorEastAsia" w:hAnsiTheme="majorBidi" w:cstheme="majorBidi"/>
          <w:i/>
          <w:iCs/>
          <w:sz w:val="20"/>
          <w:szCs w:val="20"/>
        </w:rPr>
        <w:t>Privacy, security, and public health in a pandemic year</w:t>
      </w:r>
      <w:r w:rsidRPr="00652069">
        <w:rPr>
          <w:rFonts w:asciiTheme="majorBidi" w:eastAsiaTheme="minorEastAsia" w:hAnsiTheme="majorBidi" w:cstheme="majorBidi"/>
          <w:sz w:val="20"/>
          <w:szCs w:val="20"/>
        </w:rPr>
        <w:t>. https://www.mckinsey.com/business-functions/risk/our-insights/privacy-security-and-public-health-in-a-pandemic-year</w:t>
      </w:r>
    </w:p>
    <w:p w14:paraId="61675D32"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Nath, P. A., &amp; Sharp, C. D. (2015). A User-Centered Design Approach to Information Sharing for Older Patients and Their Families. </w:t>
      </w:r>
      <w:r w:rsidRPr="00652069">
        <w:rPr>
          <w:rFonts w:asciiTheme="majorBidi" w:eastAsiaTheme="minorEastAsia" w:hAnsiTheme="majorBidi" w:cstheme="majorBidi"/>
          <w:i/>
          <w:iCs/>
          <w:sz w:val="20"/>
          <w:szCs w:val="20"/>
        </w:rPr>
        <w:t>JAMA Internal Medicine</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175</w:t>
      </w:r>
      <w:r w:rsidRPr="00652069">
        <w:rPr>
          <w:rFonts w:asciiTheme="majorBidi" w:eastAsiaTheme="minorEastAsia" w:hAnsiTheme="majorBidi" w:cstheme="majorBidi"/>
          <w:sz w:val="20"/>
          <w:szCs w:val="20"/>
        </w:rPr>
        <w:t>(9), 1498–1499. https://doi.org/10.1001/jamainternmed.2015.2907</w:t>
      </w:r>
    </w:p>
    <w:p w14:paraId="556F25DF"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New research finds data trust deficit with lessons for policymakers</w:t>
      </w:r>
      <w:r w:rsidRPr="00652069">
        <w:rPr>
          <w:rFonts w:asciiTheme="majorBidi" w:eastAsiaTheme="minorEastAsia" w:hAnsiTheme="majorBidi" w:cstheme="majorBidi"/>
          <w:sz w:val="20"/>
          <w:szCs w:val="20"/>
        </w:rPr>
        <w:t>. (2014, July 24). Ipsos MORI. https://www.ipsos.com/ipsos-mori/en-uk/new-research-finds-data-trust-deficit-lessons-policymakers</w:t>
      </w:r>
    </w:p>
    <w:p w14:paraId="240CCCA2"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Peffers, K., Tuunanen, T., Rothenberger, M. A., &amp; Chatterjee, S. (2007). A Design Science Research Methodology for Information Systems Research. </w:t>
      </w:r>
      <w:r w:rsidRPr="00652069">
        <w:rPr>
          <w:rFonts w:asciiTheme="majorBidi" w:eastAsiaTheme="minorEastAsia" w:hAnsiTheme="majorBidi" w:cstheme="majorBidi"/>
          <w:i/>
          <w:iCs/>
          <w:sz w:val="20"/>
          <w:szCs w:val="20"/>
        </w:rPr>
        <w:t>Management Information Systems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24</w:t>
      </w:r>
      <w:r w:rsidRPr="00652069">
        <w:rPr>
          <w:rFonts w:asciiTheme="majorBidi" w:eastAsiaTheme="minorEastAsia" w:hAnsiTheme="majorBidi" w:cstheme="majorBidi"/>
          <w:sz w:val="20"/>
          <w:szCs w:val="20"/>
        </w:rPr>
        <w:t>(3), 45–77. https://doi.org/10.2753/MIS0742-1222240302</w:t>
      </w:r>
    </w:p>
    <w:p w14:paraId="1A13168E"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Personal Data for the Public Good</w:t>
      </w:r>
      <w:r w:rsidRPr="00652069">
        <w:rPr>
          <w:rFonts w:asciiTheme="majorBidi" w:eastAsiaTheme="minorEastAsia" w:hAnsiTheme="majorBidi" w:cstheme="majorBidi"/>
          <w:sz w:val="20"/>
          <w:szCs w:val="20"/>
        </w:rPr>
        <w:t>. (2014). California Institute for Telecommunications and Information Technology. http://hdexplore.calit2.net/wp-content/uploads/2015/08/hdx_final_report_small.pdf</w:t>
      </w:r>
    </w:p>
    <w:p w14:paraId="695505CC"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lastRenderedPageBreak/>
        <w:t xml:space="preserve">Phillips, D. E., AbouZahr, C., Lopez, A. D., Mikkelsen, L., de Savigny, D., Lozano, R., Wilmoth, J., &amp; Setel, P. W. (2015). Are well functioning civil registration and vital statistics systems associated with better health outcomes? </w:t>
      </w:r>
      <w:r w:rsidRPr="00652069">
        <w:rPr>
          <w:rFonts w:asciiTheme="majorBidi" w:eastAsiaTheme="minorEastAsia" w:hAnsiTheme="majorBidi" w:cstheme="majorBidi"/>
          <w:i/>
          <w:iCs/>
          <w:sz w:val="20"/>
          <w:szCs w:val="20"/>
        </w:rPr>
        <w:t>Lancet (London, England)</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386</w:t>
      </w:r>
      <w:r w:rsidRPr="00652069">
        <w:rPr>
          <w:rFonts w:asciiTheme="majorBidi" w:eastAsiaTheme="minorEastAsia" w:hAnsiTheme="majorBidi" w:cstheme="majorBidi"/>
          <w:sz w:val="20"/>
          <w:szCs w:val="20"/>
        </w:rPr>
        <w:t>(10001), 1386–1394. https://doi.org/10.1016/S0140-6736(15)60172-6</w:t>
      </w:r>
    </w:p>
    <w:p w14:paraId="7DCC567F"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Prat, N., Comyn-Wattiau, I., &amp; Akoka, J. (2015). A Taxonomy of Evaluation Methods for Information Systems Artifacts. </w:t>
      </w:r>
      <w:r w:rsidRPr="00652069">
        <w:rPr>
          <w:rFonts w:asciiTheme="majorBidi" w:eastAsiaTheme="minorEastAsia" w:hAnsiTheme="majorBidi" w:cstheme="majorBidi"/>
          <w:i/>
          <w:iCs/>
          <w:sz w:val="20"/>
          <w:szCs w:val="20"/>
        </w:rPr>
        <w:t>Management Information Systems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32</w:t>
      </w:r>
      <w:r w:rsidRPr="00652069">
        <w:rPr>
          <w:rFonts w:asciiTheme="majorBidi" w:eastAsiaTheme="minorEastAsia" w:hAnsiTheme="majorBidi" w:cstheme="majorBidi"/>
          <w:sz w:val="20"/>
          <w:szCs w:val="20"/>
        </w:rPr>
        <w:t>(3), 229–267. https://doi.org/10.1080/07421222.2015.1099390</w:t>
      </w:r>
    </w:p>
    <w:p w14:paraId="231F3BDA"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Precision Medicine Could Have a Major Impact on Healthcare Outcomes and Costs</w:t>
      </w:r>
      <w:r w:rsidRPr="00652069">
        <w:rPr>
          <w:rFonts w:asciiTheme="majorBidi" w:eastAsiaTheme="minorEastAsia" w:hAnsiTheme="majorBidi" w:cstheme="majorBidi"/>
          <w:sz w:val="20"/>
          <w:szCs w:val="20"/>
        </w:rPr>
        <w:t>. (2018, December 7). Harvard Business Review. https://hbr.org/sponsored/2018/12/precision-medicine-could-have-a-major-impact-on-healthcare-outcomes-and-costs</w:t>
      </w:r>
    </w:p>
    <w:p w14:paraId="0047DB76"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Principle: Address Privacy &amp; Security</w:t>
      </w:r>
      <w:r w:rsidRPr="00652069">
        <w:rPr>
          <w:rFonts w:asciiTheme="majorBidi" w:eastAsiaTheme="minorEastAsia" w:hAnsiTheme="majorBidi" w:cstheme="majorBidi"/>
          <w:sz w:val="20"/>
          <w:szCs w:val="20"/>
        </w:rPr>
        <w:t>. (2016a). Principles for Digital Development Forum. https://digitalprinciples.org/resource/principle-8-address-privacy-security/</w:t>
      </w:r>
    </w:p>
    <w:p w14:paraId="5FBAF95C"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Principle: Be Data Driven</w:t>
      </w:r>
      <w:r w:rsidRPr="00652069">
        <w:rPr>
          <w:rFonts w:asciiTheme="majorBidi" w:eastAsiaTheme="minorEastAsia" w:hAnsiTheme="majorBidi" w:cstheme="majorBidi"/>
          <w:sz w:val="20"/>
          <w:szCs w:val="20"/>
        </w:rPr>
        <w:t>. (2016b). Principles for Digital Development Working Group. https://digitalprinciples.org/principle/be-data-driven/925/</w:t>
      </w:r>
    </w:p>
    <w:p w14:paraId="22FD20CE"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Principle: Build for Sustainability</w:t>
      </w:r>
      <w:r w:rsidRPr="00652069">
        <w:rPr>
          <w:rFonts w:asciiTheme="majorBidi" w:eastAsiaTheme="minorEastAsia" w:hAnsiTheme="majorBidi" w:cstheme="majorBidi"/>
          <w:sz w:val="20"/>
          <w:szCs w:val="20"/>
        </w:rPr>
        <w:t>. (2016c). Principles for Digital Development Working Group. https://digitalprinciples.org/principle/build-for-sustainability/926/</w:t>
      </w:r>
    </w:p>
    <w:p w14:paraId="63E053A7"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Principle: Design with the User</w:t>
      </w:r>
      <w:r w:rsidRPr="00652069">
        <w:rPr>
          <w:rFonts w:asciiTheme="majorBidi" w:eastAsiaTheme="minorEastAsia" w:hAnsiTheme="majorBidi" w:cstheme="majorBidi"/>
          <w:sz w:val="20"/>
          <w:szCs w:val="20"/>
        </w:rPr>
        <w:t>. (2016d). Principles for Digital Development Working Group. https://digitalprinciples.org/principle/design-with-the-user/</w:t>
      </w:r>
    </w:p>
    <w:p w14:paraId="2FF61F30" w14:textId="395E3229" w:rsidR="00142517" w:rsidRPr="00652069" w:rsidRDefault="00142517" w:rsidP="00142517">
      <w:pPr>
        <w:pStyle w:val="Bibliography"/>
        <w:spacing w:line="15" w:lineRule="atLeast"/>
        <w:rPr>
          <w:rFonts w:asciiTheme="majorBidi" w:eastAsiaTheme="minorEastAsia" w:hAnsiTheme="majorBidi" w:cstheme="majorBidi"/>
          <w:sz w:val="20"/>
          <w:szCs w:val="20"/>
          <w:lang w:val="pl-PL"/>
        </w:rPr>
      </w:pPr>
      <w:r w:rsidRPr="00652069">
        <w:rPr>
          <w:rFonts w:asciiTheme="majorBidi" w:eastAsiaTheme="minorEastAsia" w:hAnsiTheme="majorBidi" w:cstheme="majorBidi"/>
          <w:sz w:val="20"/>
          <w:szCs w:val="20"/>
        </w:rPr>
        <w:t xml:space="preserve">Rogers, K. (2019, September 6). </w:t>
      </w:r>
      <w:r w:rsidRPr="00652069">
        <w:rPr>
          <w:rFonts w:asciiTheme="majorBidi" w:eastAsiaTheme="minorEastAsia" w:hAnsiTheme="majorBidi" w:cstheme="majorBidi"/>
          <w:i/>
          <w:iCs/>
          <w:sz w:val="20"/>
          <w:szCs w:val="20"/>
        </w:rPr>
        <w:t>America</w:t>
      </w:r>
      <w:r w:rsidR="00B1393E" w:rsidRPr="00652069">
        <w:rPr>
          <w:rFonts w:asciiTheme="majorBidi" w:eastAsiaTheme="minorEastAsia" w:hAnsiTheme="majorBidi" w:cstheme="majorBidi"/>
          <w:i/>
          <w:iCs/>
          <w:sz w:val="20"/>
          <w:szCs w:val="20"/>
        </w:rPr>
        <w:t>'</w:t>
      </w:r>
      <w:r w:rsidRPr="00652069">
        <w:rPr>
          <w:rFonts w:asciiTheme="majorBidi" w:eastAsiaTheme="minorEastAsia" w:hAnsiTheme="majorBidi" w:cstheme="majorBidi"/>
          <w:i/>
          <w:iCs/>
          <w:sz w:val="20"/>
          <w:szCs w:val="20"/>
        </w:rPr>
        <w:t>s aging population is leading to a doctor shortage crisis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sz w:val="20"/>
          <w:szCs w:val="20"/>
          <w:lang w:val="pl-PL"/>
        </w:rPr>
        <w:t>CNBC. https://www.cnbc.com/2019/09/06/americas-aging-population-is-leading-to-a-doctor-shortage-crisis.html</w:t>
      </w:r>
    </w:p>
    <w:p w14:paraId="10172F09" w14:textId="77777777" w:rsidR="00142517" w:rsidRPr="00652069" w:rsidRDefault="00142517" w:rsidP="00142517">
      <w:pPr>
        <w:pStyle w:val="Bibliography"/>
        <w:spacing w:line="15" w:lineRule="atLeast"/>
        <w:rPr>
          <w:rFonts w:asciiTheme="majorBidi" w:eastAsiaTheme="minorEastAsia" w:hAnsiTheme="majorBidi" w:cstheme="majorBidi"/>
          <w:sz w:val="20"/>
          <w:szCs w:val="20"/>
          <w:lang w:val="pl-PL"/>
        </w:rPr>
      </w:pPr>
      <w:r w:rsidRPr="00652069">
        <w:rPr>
          <w:rFonts w:asciiTheme="majorBidi" w:eastAsiaTheme="minorEastAsia" w:hAnsiTheme="majorBidi" w:cstheme="majorBidi"/>
          <w:sz w:val="20"/>
          <w:szCs w:val="20"/>
          <w:lang w:val="pl-PL"/>
        </w:rPr>
        <w:t xml:space="preserve">Rouse, M. (2014a, June). </w:t>
      </w:r>
      <w:r w:rsidRPr="00652069">
        <w:rPr>
          <w:rFonts w:asciiTheme="majorBidi" w:eastAsiaTheme="minorEastAsia" w:hAnsiTheme="majorBidi" w:cstheme="majorBidi"/>
          <w:i/>
          <w:iCs/>
          <w:sz w:val="20"/>
          <w:szCs w:val="20"/>
          <w:lang w:val="pl-PL"/>
        </w:rPr>
        <w:t>IT Audit (Information Technology Audit)</w:t>
      </w:r>
      <w:r w:rsidRPr="00652069">
        <w:rPr>
          <w:rFonts w:asciiTheme="majorBidi" w:eastAsiaTheme="minorEastAsia" w:hAnsiTheme="majorBidi" w:cstheme="majorBidi"/>
          <w:sz w:val="20"/>
          <w:szCs w:val="20"/>
          <w:lang w:val="pl-PL"/>
        </w:rPr>
        <w:t>. SearchCompliance. https://searchcompliance.techtarget.com/definition/IT-audit-information-technology-audit</w:t>
      </w:r>
    </w:p>
    <w:p w14:paraId="64742164"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lang w:val="pl-PL"/>
        </w:rPr>
        <w:t xml:space="preserve">Rouse, M. (2014b, November). </w:t>
      </w:r>
      <w:r w:rsidRPr="00652069">
        <w:rPr>
          <w:rFonts w:asciiTheme="majorBidi" w:eastAsiaTheme="minorEastAsia" w:hAnsiTheme="majorBidi" w:cstheme="majorBidi"/>
          <w:i/>
          <w:iCs/>
          <w:sz w:val="20"/>
          <w:szCs w:val="20"/>
        </w:rPr>
        <w:t>What is transparency?</w:t>
      </w:r>
      <w:r w:rsidRPr="00652069">
        <w:rPr>
          <w:rFonts w:asciiTheme="majorBidi" w:eastAsiaTheme="minorEastAsia" w:hAnsiTheme="majorBidi" w:cstheme="majorBidi"/>
          <w:sz w:val="20"/>
          <w:szCs w:val="20"/>
        </w:rPr>
        <w:t xml:space="preserve"> WhatIs.Com. https://whatis.techtarget.com/definition/transparency</w:t>
      </w:r>
    </w:p>
    <w:p w14:paraId="5631F136"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lang w:val="nl-NL"/>
        </w:rPr>
        <w:t xml:space="preserve">Ruefle, R., van Wyk, K., &amp; Tosic, L. (2013). </w:t>
      </w:r>
      <w:r w:rsidRPr="00652069">
        <w:rPr>
          <w:rFonts w:asciiTheme="majorBidi" w:eastAsiaTheme="minorEastAsia" w:hAnsiTheme="majorBidi" w:cstheme="majorBidi"/>
          <w:i/>
          <w:iCs/>
          <w:sz w:val="20"/>
          <w:szCs w:val="20"/>
        </w:rPr>
        <w:t>New Zealand Security Incident Management Guide for Computer Security Incident Response Teams (CSIRTs)</w:t>
      </w:r>
      <w:r w:rsidRPr="00652069">
        <w:rPr>
          <w:rFonts w:asciiTheme="majorBidi" w:eastAsiaTheme="minorEastAsia" w:hAnsiTheme="majorBidi" w:cstheme="majorBidi"/>
          <w:sz w:val="20"/>
          <w:szCs w:val="20"/>
        </w:rPr>
        <w:t>. New Zealand National Cyber Security Centre and Software Engineering Institute at Carnegie Mellon University. https://www.ncsc.govt.nz/assets/NCSC-Documents/New-Zealand-Security-Incident-Management-Guide-for-Computer-Security-Incident-Response-Teams-CSIRTs.pdf</w:t>
      </w:r>
    </w:p>
    <w:p w14:paraId="54FF966F"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Securing Digital Health</w:t>
      </w:r>
      <w:r w:rsidRPr="00652069">
        <w:rPr>
          <w:rFonts w:asciiTheme="majorBidi" w:eastAsiaTheme="minorEastAsia" w:hAnsiTheme="majorBidi" w:cstheme="majorBidi"/>
          <w:sz w:val="20"/>
          <w:szCs w:val="20"/>
        </w:rPr>
        <w:t>. (2019). Global Digital Health Partnership (GDHP). https://s3-ap-southeast-2.amazonaws.com/ehq-production-australia/50fe7b8a9f1be5ef493df8dcbcc3830d588514a5/documents/attachments/000/102/276/original/GDHP_Cyber_0102_Final2.1.pdf</w:t>
      </w:r>
    </w:p>
    <w:p w14:paraId="6C3AF6CA"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Sharma, R., Zhang, C., Wingreen, S. C., Kshetri, N., &amp; Zahid, A. (2019). Design of Blockchain-based Precision Health-Care Using Soft Systems Methodology. </w:t>
      </w:r>
      <w:r w:rsidRPr="00652069">
        <w:rPr>
          <w:rFonts w:asciiTheme="majorBidi" w:eastAsiaTheme="minorEastAsia" w:hAnsiTheme="majorBidi" w:cstheme="majorBidi"/>
          <w:i/>
          <w:iCs/>
          <w:sz w:val="20"/>
          <w:szCs w:val="20"/>
        </w:rPr>
        <w:t>Industrial Management &amp; Data Systems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120</w:t>
      </w:r>
      <w:r w:rsidRPr="00652069">
        <w:rPr>
          <w:rFonts w:asciiTheme="majorBidi" w:eastAsiaTheme="minorEastAsia" w:hAnsiTheme="majorBidi" w:cstheme="majorBidi"/>
          <w:sz w:val="20"/>
          <w:szCs w:val="20"/>
        </w:rPr>
        <w:t>(3), 608–632. https://doi.org/10.1108/IMDS-07-2019-0401</w:t>
      </w:r>
    </w:p>
    <w:p w14:paraId="2D1A94C0"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Skierka, I. M. (2018). The governance of safety and security risks in connected healthcare. </w:t>
      </w:r>
      <w:r w:rsidRPr="00652069">
        <w:rPr>
          <w:rFonts w:asciiTheme="majorBidi" w:eastAsiaTheme="minorEastAsia" w:hAnsiTheme="majorBidi" w:cstheme="majorBidi"/>
          <w:i/>
          <w:iCs/>
          <w:sz w:val="20"/>
          <w:szCs w:val="20"/>
        </w:rPr>
        <w:t>Living in the Internet of Things: Cybersecurity of the IoT - 2018</w:t>
      </w:r>
      <w:r w:rsidRPr="00652069">
        <w:rPr>
          <w:rFonts w:asciiTheme="majorBidi" w:eastAsiaTheme="minorEastAsia" w:hAnsiTheme="majorBidi" w:cstheme="majorBidi"/>
          <w:sz w:val="20"/>
          <w:szCs w:val="20"/>
        </w:rPr>
        <w:t>, 2 (12 pp.)-2 (12 pp.). https://doi.org/10.1049/cp.2018.0002</w:t>
      </w:r>
    </w:p>
    <w:p w14:paraId="6FC95CD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Stephanie, F. L., &amp; Sharma, R. S. (2021). </w:t>
      </w:r>
      <w:r w:rsidRPr="00652069">
        <w:rPr>
          <w:rFonts w:asciiTheme="majorBidi" w:eastAsiaTheme="minorEastAsia" w:hAnsiTheme="majorBidi" w:cstheme="majorBidi"/>
          <w:i/>
          <w:iCs/>
          <w:sz w:val="20"/>
          <w:szCs w:val="20"/>
        </w:rPr>
        <w:t>Capturing Value in Digital Health Eco-Systems: Validating Strategies for Stakeholders</w:t>
      </w:r>
      <w:r w:rsidRPr="00652069">
        <w:rPr>
          <w:rFonts w:asciiTheme="majorBidi" w:eastAsiaTheme="minorEastAsia" w:hAnsiTheme="majorBidi" w:cstheme="majorBidi"/>
          <w:sz w:val="20"/>
          <w:szCs w:val="20"/>
        </w:rPr>
        <w:t>.</w:t>
      </w:r>
    </w:p>
    <w:p w14:paraId="1AFBB52B"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Stickdorn, M., &amp; Schneider, J. (2012). </w:t>
      </w:r>
      <w:r w:rsidRPr="00652069">
        <w:rPr>
          <w:rFonts w:asciiTheme="majorBidi" w:eastAsiaTheme="minorEastAsia" w:hAnsiTheme="majorBidi" w:cstheme="majorBidi"/>
          <w:i/>
          <w:iCs/>
          <w:sz w:val="20"/>
          <w:szCs w:val="20"/>
        </w:rPr>
        <w:t>This is Service Design Thinking: Basics, Tools, Cases</w:t>
      </w:r>
      <w:r w:rsidRPr="00652069">
        <w:rPr>
          <w:rFonts w:asciiTheme="majorBidi" w:eastAsiaTheme="minorEastAsia" w:hAnsiTheme="majorBidi" w:cstheme="majorBidi"/>
          <w:sz w:val="20"/>
          <w:szCs w:val="20"/>
        </w:rPr>
        <w:t xml:space="preserve"> (1 edition). Wiley.</w:t>
      </w:r>
    </w:p>
    <w:p w14:paraId="4561FF46"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Svensson, T. (2019, November 11). </w:t>
      </w:r>
      <w:r w:rsidRPr="00652069">
        <w:rPr>
          <w:rFonts w:asciiTheme="majorBidi" w:eastAsiaTheme="minorEastAsia" w:hAnsiTheme="majorBidi" w:cstheme="majorBidi"/>
          <w:i/>
          <w:iCs/>
          <w:sz w:val="20"/>
          <w:szCs w:val="20"/>
        </w:rPr>
        <w:t>Digital Health: Answer to Challenges of UN SDG 3 | CFI.co</w:t>
      </w:r>
      <w:r w:rsidRPr="00652069">
        <w:rPr>
          <w:rFonts w:asciiTheme="majorBidi" w:eastAsiaTheme="minorEastAsia" w:hAnsiTheme="majorBidi" w:cstheme="majorBidi"/>
          <w:sz w:val="20"/>
          <w:szCs w:val="20"/>
        </w:rPr>
        <w:t>. https://cfi.co/sustainability/2019/11/digital-health-answer-to-challenges-of-un-sdg-3/</w:t>
      </w:r>
    </w:p>
    <w:p w14:paraId="5B8AF34D"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Trusted Exchange Framework and Common Agreement (TEFCA) Draft 2</w:t>
      </w:r>
      <w:r w:rsidRPr="00652069">
        <w:rPr>
          <w:rFonts w:asciiTheme="majorBidi" w:eastAsiaTheme="minorEastAsia" w:hAnsiTheme="majorBidi" w:cstheme="majorBidi"/>
          <w:sz w:val="20"/>
          <w:szCs w:val="20"/>
        </w:rPr>
        <w:t>. (2018). The Office of the National Coordinator for Health Information Technology. https://www.healthit.gov/sites/default/files/page/2019-04/TEFCADraft2UsersGuide.pdf</w:t>
      </w:r>
    </w:p>
    <w:p w14:paraId="7CA4A6C3"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Vithiatharan, R. N. (2014). The potentials and challenges of big data in public health. </w:t>
      </w:r>
      <w:r w:rsidRPr="00652069">
        <w:rPr>
          <w:rFonts w:asciiTheme="majorBidi" w:eastAsiaTheme="minorEastAsia" w:hAnsiTheme="majorBidi" w:cstheme="majorBidi"/>
          <w:i/>
          <w:iCs/>
          <w:sz w:val="20"/>
          <w:szCs w:val="20"/>
        </w:rPr>
        <w:t>Proceedings of the 3rd Australian EHealth Informatics and Security Conference. Held on the 1-3 December</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2014 at Edith Cowan University</w:t>
      </w:r>
      <w:r w:rsidRPr="00652069">
        <w:rPr>
          <w:rFonts w:asciiTheme="majorBidi" w:eastAsiaTheme="minorEastAsia" w:hAnsiTheme="majorBidi" w:cstheme="majorBidi"/>
          <w:sz w:val="20"/>
          <w:szCs w:val="20"/>
        </w:rPr>
        <w:t>, Western Australia. https://doi.org/10.4225/75/579824F531B45</w:t>
      </w:r>
    </w:p>
    <w:p w14:paraId="539E863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i/>
          <w:iCs/>
          <w:sz w:val="20"/>
          <w:szCs w:val="20"/>
        </w:rPr>
        <w:t>WHO guideline: Recommendations on digital interventions for health system strengthening</w:t>
      </w:r>
      <w:r w:rsidRPr="00652069">
        <w:rPr>
          <w:rFonts w:asciiTheme="majorBidi" w:eastAsiaTheme="minorEastAsia" w:hAnsiTheme="majorBidi" w:cstheme="majorBidi"/>
          <w:sz w:val="20"/>
          <w:szCs w:val="20"/>
        </w:rPr>
        <w:t>. (2019). World Health Organization. http://www.ncbi.nlm.nih.gov/books/NBK541902/</w:t>
      </w:r>
    </w:p>
    <w:p w14:paraId="038FE418" w14:textId="77777777" w:rsidR="00142517" w:rsidRPr="00652069"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lang w:val="it-IT"/>
        </w:rPr>
        <w:t xml:space="preserve">Yao, W., Chu, C.-H., &amp; Li, Z. (2010). </w:t>
      </w:r>
      <w:r w:rsidRPr="00652069">
        <w:rPr>
          <w:rFonts w:asciiTheme="majorBidi" w:eastAsiaTheme="minorEastAsia" w:hAnsiTheme="majorBidi" w:cstheme="majorBidi"/>
          <w:sz w:val="20"/>
          <w:szCs w:val="20"/>
        </w:rPr>
        <w:t xml:space="preserve">The use of RFID in healthcare: Benefits and barriers. </w:t>
      </w:r>
      <w:r w:rsidRPr="00652069">
        <w:rPr>
          <w:rFonts w:asciiTheme="majorBidi" w:eastAsiaTheme="minorEastAsia" w:hAnsiTheme="majorBidi" w:cstheme="majorBidi"/>
          <w:i/>
          <w:iCs/>
          <w:sz w:val="20"/>
          <w:szCs w:val="20"/>
        </w:rPr>
        <w:t>2010 IEEE International Conference on RFID-Technology and Applications</w:t>
      </w:r>
      <w:r w:rsidRPr="00652069">
        <w:rPr>
          <w:rFonts w:asciiTheme="majorBidi" w:eastAsiaTheme="minorEastAsia" w:hAnsiTheme="majorBidi" w:cstheme="majorBidi"/>
          <w:sz w:val="20"/>
          <w:szCs w:val="20"/>
        </w:rPr>
        <w:t>, 128–134. https://doi.org/10.1109/RFID-TA.2010.5529874</w:t>
      </w:r>
    </w:p>
    <w:p w14:paraId="422E26B7" w14:textId="5298412D" w:rsidR="00142517" w:rsidRDefault="00142517" w:rsidP="00142517">
      <w:pPr>
        <w:pStyle w:val="Bibliography"/>
        <w:spacing w:line="15" w:lineRule="atLeast"/>
        <w:rPr>
          <w:rFonts w:asciiTheme="majorBidi" w:eastAsiaTheme="minorEastAsia" w:hAnsiTheme="majorBidi" w:cstheme="majorBidi"/>
          <w:sz w:val="20"/>
          <w:szCs w:val="20"/>
        </w:rPr>
      </w:pPr>
      <w:r w:rsidRPr="00652069">
        <w:rPr>
          <w:rFonts w:asciiTheme="majorBidi" w:eastAsiaTheme="minorEastAsia" w:hAnsiTheme="majorBidi" w:cstheme="majorBidi"/>
          <w:sz w:val="20"/>
          <w:szCs w:val="20"/>
        </w:rPr>
        <w:t xml:space="preserve">Zahid, A., Poulsen, J. K., Sharma, R., &amp; Wingreen, S. C. (2021). A systematic review of emerging information technologies for sustainable data-centric healthcare. </w:t>
      </w:r>
      <w:r w:rsidRPr="00652069">
        <w:rPr>
          <w:rFonts w:asciiTheme="majorBidi" w:eastAsiaTheme="minorEastAsia" w:hAnsiTheme="majorBidi" w:cstheme="majorBidi"/>
          <w:i/>
          <w:iCs/>
          <w:sz w:val="20"/>
          <w:szCs w:val="20"/>
        </w:rPr>
        <w:t>International Journal of Medical Informatics</w:t>
      </w:r>
      <w:r w:rsidRPr="00652069">
        <w:rPr>
          <w:rFonts w:asciiTheme="majorBidi" w:eastAsiaTheme="minorEastAsia" w:hAnsiTheme="majorBidi" w:cstheme="majorBidi"/>
          <w:sz w:val="20"/>
          <w:szCs w:val="20"/>
        </w:rPr>
        <w:t xml:space="preserve">, </w:t>
      </w:r>
      <w:r w:rsidRPr="00652069">
        <w:rPr>
          <w:rFonts w:asciiTheme="majorBidi" w:eastAsiaTheme="minorEastAsia" w:hAnsiTheme="majorBidi" w:cstheme="majorBidi"/>
          <w:i/>
          <w:iCs/>
          <w:sz w:val="20"/>
          <w:szCs w:val="20"/>
        </w:rPr>
        <w:t>149</w:t>
      </w:r>
      <w:r w:rsidRPr="00652069">
        <w:rPr>
          <w:rFonts w:asciiTheme="majorBidi" w:eastAsiaTheme="minorEastAsia" w:hAnsiTheme="majorBidi" w:cstheme="majorBidi"/>
          <w:sz w:val="20"/>
          <w:szCs w:val="20"/>
        </w:rPr>
        <w:t>, 104420. https://doi.org/10.1016/j.ijmedinf.2021.104420</w:t>
      </w:r>
    </w:p>
    <w:p w14:paraId="4876E494" w14:textId="77777777" w:rsidR="00652069" w:rsidRPr="00C443DD" w:rsidRDefault="00652069" w:rsidP="00652069">
      <w:pPr>
        <w:pStyle w:val="Default"/>
      </w:pPr>
      <w:r w:rsidRPr="00C443DD">
        <w:rPr>
          <w:rFonts w:asciiTheme="majorBidi" w:hAnsiTheme="majorBidi" w:cstheme="majorBidi"/>
          <w:sz w:val="20"/>
          <w:szCs w:val="20"/>
        </w:rPr>
        <w:t xml:space="preserve">Zahid, A. (2021). An Overview of Emerging Digital Health Informatics. In Stephanie, F. L., &amp; Sharma, R. S. (Ed). </w:t>
      </w:r>
      <w:r w:rsidRPr="00C443DD">
        <w:rPr>
          <w:rFonts w:asciiTheme="majorBidi" w:hAnsiTheme="majorBidi" w:cstheme="majorBidi"/>
          <w:i/>
          <w:iCs/>
          <w:sz w:val="20"/>
          <w:szCs w:val="20"/>
        </w:rPr>
        <w:t>Capturing Value in Digital Health Eco-Systems: Validating Strategies for Stakeholders</w:t>
      </w:r>
      <w:r>
        <w:rPr>
          <w:rFonts w:asciiTheme="majorBidi" w:hAnsiTheme="majorBidi" w:cstheme="majorBidi"/>
          <w:i/>
          <w:iCs/>
          <w:sz w:val="20"/>
          <w:szCs w:val="20"/>
        </w:rPr>
        <w:t>,</w:t>
      </w:r>
      <w:r>
        <w:rPr>
          <w:rFonts w:asciiTheme="majorBidi" w:hAnsiTheme="majorBidi" w:cstheme="majorBidi"/>
          <w:sz w:val="20"/>
          <w:szCs w:val="20"/>
        </w:rPr>
        <w:t xml:space="preserve"> </w:t>
      </w:r>
      <w:r w:rsidRPr="00C443DD">
        <w:rPr>
          <w:rFonts w:asciiTheme="majorBidi" w:hAnsiTheme="majorBidi" w:cstheme="majorBidi"/>
          <w:sz w:val="20"/>
          <w:szCs w:val="20"/>
        </w:rPr>
        <w:t xml:space="preserve">12-51. </w:t>
      </w:r>
    </w:p>
    <w:p w14:paraId="7F900495" w14:textId="77777777" w:rsidR="00142517" w:rsidRPr="00652069" w:rsidRDefault="00142517" w:rsidP="00142517">
      <w:pPr>
        <w:pStyle w:val="Bibliography"/>
        <w:spacing w:line="15" w:lineRule="atLeast"/>
        <w:rPr>
          <w:rFonts w:asciiTheme="majorBidi" w:hAnsiTheme="majorBidi" w:cstheme="majorBidi"/>
          <w:sz w:val="20"/>
          <w:szCs w:val="20"/>
        </w:rPr>
      </w:pPr>
      <w:r w:rsidRPr="00652069">
        <w:rPr>
          <w:rFonts w:asciiTheme="majorBidi" w:eastAsiaTheme="minorEastAsia" w:hAnsiTheme="majorBidi" w:cstheme="majorBidi"/>
          <w:sz w:val="20"/>
          <w:szCs w:val="20"/>
        </w:rPr>
        <w:t xml:space="preserve">Zimmerman, E. (2013, June 25). </w:t>
      </w:r>
      <w:r w:rsidRPr="00652069">
        <w:rPr>
          <w:rFonts w:asciiTheme="majorBidi" w:eastAsiaTheme="minorEastAsia" w:hAnsiTheme="majorBidi" w:cstheme="majorBidi"/>
          <w:i/>
          <w:iCs/>
          <w:sz w:val="20"/>
          <w:szCs w:val="20"/>
        </w:rPr>
        <w:t>The race to a $100 genome</w:t>
      </w:r>
      <w:r w:rsidRPr="00652069">
        <w:rPr>
          <w:rFonts w:asciiTheme="majorBidi" w:eastAsiaTheme="minorEastAsia" w:hAnsiTheme="majorBidi" w:cstheme="majorBidi"/>
          <w:sz w:val="20"/>
          <w:szCs w:val="20"/>
        </w:rPr>
        <w:t>. CNN Business. https://money.cnn.com/2013/06/25/technology/enterprise/low-cost-genome-sequencing/index.html</w:t>
      </w:r>
    </w:p>
    <w:p w14:paraId="7E3E8062" w14:textId="5DFC5B73" w:rsidR="00142517" w:rsidRDefault="00142517" w:rsidP="00142517">
      <w:pPr>
        <w:adjustRightInd w:val="0"/>
        <w:snapToGrid w:val="0"/>
        <w:spacing w:after="0" w:line="15" w:lineRule="atLeast"/>
        <w:jc w:val="center"/>
        <w:rPr>
          <w:rFonts w:asciiTheme="majorBidi" w:hAnsiTheme="majorBidi" w:cstheme="majorBidi"/>
          <w:sz w:val="20"/>
          <w:szCs w:val="20"/>
        </w:rPr>
      </w:pPr>
      <w:r w:rsidRPr="00652069">
        <w:rPr>
          <w:rFonts w:asciiTheme="majorBidi" w:hAnsiTheme="majorBidi" w:cstheme="majorBidi"/>
          <w:sz w:val="20"/>
          <w:szCs w:val="20"/>
        </w:rPr>
        <w:fldChar w:fldCharType="end"/>
      </w:r>
    </w:p>
    <w:p w14:paraId="354D4237" w14:textId="77777777" w:rsidR="00B1393E" w:rsidRDefault="00B1393E" w:rsidP="00142517">
      <w:pPr>
        <w:adjustRightInd w:val="0"/>
        <w:snapToGrid w:val="0"/>
        <w:spacing w:after="0" w:line="15" w:lineRule="atLeast"/>
        <w:jc w:val="center"/>
        <w:rPr>
          <w:rFonts w:asciiTheme="majorBidi" w:hAnsiTheme="majorBidi" w:cstheme="majorBidi"/>
          <w:sz w:val="20"/>
          <w:szCs w:val="20"/>
        </w:rPr>
      </w:pPr>
    </w:p>
    <w:p w14:paraId="7C287BA5" w14:textId="77777777" w:rsidR="00D719F6" w:rsidRDefault="00142517" w:rsidP="00142517">
      <w:pPr>
        <w:adjustRightInd w:val="0"/>
        <w:snapToGrid w:val="0"/>
        <w:spacing w:after="0" w:line="240" w:lineRule="auto"/>
        <w:jc w:val="center"/>
        <w:rPr>
          <w:rFonts w:asciiTheme="majorBidi" w:eastAsiaTheme="minorEastAsia" w:hAnsiTheme="majorBidi" w:cstheme="majorBidi"/>
          <w:b/>
          <w:sz w:val="20"/>
          <w:szCs w:val="20"/>
        </w:rPr>
      </w:pPr>
      <w:r w:rsidRPr="00142517">
        <w:rPr>
          <w:rFonts w:asciiTheme="majorBidi" w:eastAsiaTheme="minorEastAsia" w:hAnsiTheme="majorBidi" w:cstheme="majorBidi"/>
          <w:b/>
          <w:sz w:val="20"/>
          <w:szCs w:val="20"/>
        </w:rPr>
        <w:t xml:space="preserve"> </w:t>
      </w:r>
    </w:p>
    <w:p w14:paraId="316B4B43" w14:textId="77777777" w:rsidR="00D719F6" w:rsidRDefault="00D719F6">
      <w:pPr>
        <w:rPr>
          <w:rFonts w:asciiTheme="majorBidi" w:eastAsiaTheme="minorEastAsia" w:hAnsiTheme="majorBidi" w:cstheme="majorBidi"/>
          <w:b/>
          <w:sz w:val="20"/>
          <w:szCs w:val="20"/>
        </w:rPr>
      </w:pPr>
      <w:r>
        <w:rPr>
          <w:rFonts w:asciiTheme="majorBidi" w:eastAsiaTheme="minorEastAsia" w:hAnsiTheme="majorBidi" w:cstheme="majorBidi"/>
          <w:b/>
          <w:sz w:val="20"/>
          <w:szCs w:val="20"/>
        </w:rPr>
        <w:br w:type="page"/>
      </w:r>
    </w:p>
    <w:p w14:paraId="3C711878" w14:textId="4964EDB9" w:rsidR="00142517" w:rsidRDefault="00142517" w:rsidP="00142517">
      <w:pPr>
        <w:adjustRightInd w:val="0"/>
        <w:snapToGrid w:val="0"/>
        <w:spacing w:after="0" w:line="240" w:lineRule="auto"/>
        <w:jc w:val="center"/>
        <w:rPr>
          <w:rFonts w:asciiTheme="majorBidi" w:eastAsiaTheme="minorEastAsia" w:hAnsiTheme="majorBidi" w:cstheme="majorBidi"/>
          <w:b/>
          <w:sz w:val="20"/>
          <w:szCs w:val="20"/>
        </w:rPr>
      </w:pPr>
      <w:r w:rsidRPr="00142517">
        <w:rPr>
          <w:rFonts w:asciiTheme="majorBidi" w:eastAsiaTheme="minorEastAsia" w:hAnsiTheme="majorBidi" w:cstheme="majorBidi"/>
          <w:b/>
          <w:sz w:val="20"/>
          <w:szCs w:val="20"/>
        </w:rPr>
        <w:lastRenderedPageBreak/>
        <w:t>A</w:t>
      </w:r>
      <w:r w:rsidR="00EA22BE">
        <w:rPr>
          <w:rFonts w:asciiTheme="majorBidi" w:eastAsiaTheme="minorEastAsia" w:hAnsiTheme="majorBidi" w:cstheme="majorBidi"/>
          <w:b/>
          <w:sz w:val="20"/>
          <w:szCs w:val="20"/>
        </w:rPr>
        <w:t>NNEX</w:t>
      </w:r>
      <w:r w:rsidRPr="00142517">
        <w:rPr>
          <w:rFonts w:asciiTheme="majorBidi" w:eastAsiaTheme="minorEastAsia" w:hAnsiTheme="majorBidi" w:cstheme="majorBidi"/>
          <w:b/>
          <w:sz w:val="20"/>
          <w:szCs w:val="20"/>
        </w:rPr>
        <w:t xml:space="preserve"> A: </w:t>
      </w:r>
      <w:r>
        <w:rPr>
          <w:rFonts w:asciiTheme="majorBidi" w:eastAsiaTheme="minorEastAsia" w:hAnsiTheme="majorBidi" w:cstheme="majorBidi"/>
          <w:b/>
          <w:sz w:val="20"/>
          <w:szCs w:val="20"/>
        </w:rPr>
        <w:t>Design Artefact and Sub-Artefacts of the PHC Ecosystem.</w:t>
      </w:r>
    </w:p>
    <w:p w14:paraId="01B1E27D" w14:textId="77777777" w:rsidR="00F03125" w:rsidRPr="00142517" w:rsidRDefault="00F03125" w:rsidP="00142517">
      <w:pPr>
        <w:adjustRightInd w:val="0"/>
        <w:snapToGrid w:val="0"/>
        <w:spacing w:after="0" w:line="240" w:lineRule="auto"/>
        <w:jc w:val="center"/>
        <w:rPr>
          <w:rFonts w:asciiTheme="majorBidi" w:eastAsiaTheme="minorEastAsia" w:hAnsiTheme="majorBidi" w:cstheme="majorBidi"/>
          <w:b/>
          <w:sz w:val="20"/>
          <w:szCs w:val="20"/>
        </w:rPr>
      </w:pPr>
    </w:p>
    <w:p w14:paraId="580E100D" w14:textId="77777777" w:rsidR="00142517" w:rsidRDefault="00142517" w:rsidP="00142517">
      <w:pPr>
        <w:spacing w:after="0" w:line="240" w:lineRule="auto"/>
        <w:jc w:val="center"/>
        <w:rPr>
          <w:sz w:val="24"/>
          <w:szCs w:val="24"/>
        </w:rPr>
      </w:pPr>
      <w:r w:rsidRPr="00AE3226">
        <w:rPr>
          <w:noProof/>
          <w:sz w:val="24"/>
          <w:szCs w:val="24"/>
        </w:rPr>
        <w:drawing>
          <wp:inline distT="0" distB="0" distL="0" distR="0" wp14:anchorId="1B0EBF29" wp14:editId="6990BAC3">
            <wp:extent cx="5572125" cy="6701603"/>
            <wp:effectExtent l="95250" t="57150" r="104775" b="9969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82113" cy="6713616"/>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847E003" w14:textId="42EF5386" w:rsidR="00142517" w:rsidRPr="00637F58" w:rsidRDefault="00142517" w:rsidP="00142517">
      <w:pPr>
        <w:spacing w:after="0" w:line="240" w:lineRule="auto"/>
        <w:jc w:val="center"/>
        <w:rPr>
          <w:rFonts w:asciiTheme="majorBidi" w:hAnsiTheme="majorBidi" w:cstheme="majorBidi"/>
          <w:sz w:val="20"/>
          <w:szCs w:val="20"/>
        </w:rPr>
      </w:pPr>
      <w:bookmarkStart w:id="7" w:name="_Toc104415858"/>
    </w:p>
    <w:p w14:paraId="2869BED7" w14:textId="437242E8" w:rsidR="00142517" w:rsidRPr="00637F58" w:rsidRDefault="00142517" w:rsidP="00142517">
      <w:pPr>
        <w:spacing w:line="240" w:lineRule="auto"/>
        <w:jc w:val="center"/>
        <w:rPr>
          <w:rFonts w:asciiTheme="majorBidi" w:hAnsiTheme="majorBidi" w:cstheme="majorBidi"/>
          <w:sz w:val="20"/>
          <w:szCs w:val="20"/>
        </w:rPr>
      </w:pPr>
      <w:r w:rsidRPr="00637F58">
        <w:rPr>
          <w:rFonts w:asciiTheme="majorBidi" w:hAnsiTheme="majorBidi" w:cstheme="majorBidi"/>
          <w:sz w:val="20"/>
          <w:szCs w:val="20"/>
        </w:rPr>
        <w:t xml:space="preserve">Figure </w:t>
      </w:r>
      <w:r>
        <w:rPr>
          <w:rFonts w:asciiTheme="majorBidi" w:hAnsiTheme="majorBidi" w:cstheme="majorBidi"/>
          <w:sz w:val="20"/>
          <w:szCs w:val="20"/>
        </w:rPr>
        <w:t>5</w:t>
      </w:r>
      <w:r w:rsidRPr="00637F58">
        <w:rPr>
          <w:rFonts w:asciiTheme="majorBidi" w:hAnsiTheme="majorBidi" w:cstheme="majorBidi"/>
          <w:sz w:val="20"/>
          <w:szCs w:val="20"/>
        </w:rPr>
        <w:t xml:space="preserve">: </w:t>
      </w:r>
      <w:r w:rsidRPr="00142517">
        <w:rPr>
          <w:rFonts w:asciiTheme="majorBidi" w:hAnsiTheme="majorBidi" w:cstheme="majorBidi"/>
          <w:sz w:val="20"/>
          <w:szCs w:val="20"/>
        </w:rPr>
        <w:t>System Architecture of the PHC Ecosystem</w:t>
      </w:r>
      <w:r w:rsidRPr="00637F58">
        <w:rPr>
          <w:rFonts w:asciiTheme="majorBidi" w:hAnsiTheme="majorBidi" w:cstheme="majorBidi"/>
          <w:sz w:val="20"/>
          <w:szCs w:val="20"/>
        </w:rPr>
        <w:t>.</w:t>
      </w:r>
    </w:p>
    <w:bookmarkEnd w:id="7"/>
    <w:p w14:paraId="5310F805" w14:textId="59C47B26" w:rsidR="00637F58" w:rsidRDefault="00637F58" w:rsidP="00142517">
      <w:pPr>
        <w:spacing w:line="240" w:lineRule="auto"/>
        <w:rPr>
          <w:rFonts w:asciiTheme="majorBidi" w:hAnsiTheme="majorBidi" w:cstheme="majorBidi"/>
          <w:sz w:val="20"/>
          <w:szCs w:val="20"/>
        </w:rPr>
      </w:pPr>
    </w:p>
    <w:p w14:paraId="29B8A440" w14:textId="77777777" w:rsidR="00142517" w:rsidRPr="00142517" w:rsidRDefault="00142517" w:rsidP="00142517">
      <w:pPr>
        <w:spacing w:line="240" w:lineRule="auto"/>
        <w:rPr>
          <w:rFonts w:asciiTheme="majorBidi" w:hAnsiTheme="majorBidi" w:cstheme="majorBidi"/>
          <w:sz w:val="20"/>
          <w:szCs w:val="20"/>
        </w:rPr>
      </w:pPr>
    </w:p>
    <w:p w14:paraId="3B4E4AAB" w14:textId="336BA045" w:rsidR="00637F58" w:rsidRDefault="00142517" w:rsidP="00142517">
      <w:pPr>
        <w:spacing w:after="0" w:line="240" w:lineRule="auto"/>
        <w:rPr>
          <w:rFonts w:asciiTheme="majorBidi" w:hAnsiTheme="majorBidi" w:cstheme="majorBidi"/>
          <w:sz w:val="20"/>
          <w:szCs w:val="20"/>
        </w:rPr>
      </w:pPr>
      <w:r>
        <w:rPr>
          <w:noProof/>
          <w:sz w:val="24"/>
          <w:szCs w:val="24"/>
        </w:rPr>
        <w:lastRenderedPageBreak/>
        <w:drawing>
          <wp:inline distT="0" distB="0" distL="0" distR="0" wp14:anchorId="75A0392D" wp14:editId="248B4A7D">
            <wp:extent cx="6319157" cy="7849235"/>
            <wp:effectExtent l="0" t="0" r="571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22694" cy="7853629"/>
                    </a:xfrm>
                    <a:prstGeom prst="rect">
                      <a:avLst/>
                    </a:prstGeom>
                    <a:noFill/>
                    <a:ln>
                      <a:noFill/>
                    </a:ln>
                  </pic:spPr>
                </pic:pic>
              </a:graphicData>
            </a:graphic>
          </wp:inline>
        </w:drawing>
      </w:r>
    </w:p>
    <w:p w14:paraId="2E097BE0" w14:textId="1EA9B3C0" w:rsidR="00142517" w:rsidRPr="00637F58" w:rsidRDefault="00142517" w:rsidP="00142517">
      <w:pPr>
        <w:spacing w:after="0" w:line="240" w:lineRule="auto"/>
        <w:jc w:val="center"/>
        <w:rPr>
          <w:rFonts w:asciiTheme="majorBidi" w:hAnsiTheme="majorBidi" w:cstheme="majorBidi"/>
          <w:sz w:val="20"/>
          <w:szCs w:val="20"/>
        </w:rPr>
      </w:pPr>
    </w:p>
    <w:p w14:paraId="3CE2095B" w14:textId="42543468" w:rsidR="00142517" w:rsidRPr="00637F58" w:rsidRDefault="00142517" w:rsidP="00142517">
      <w:pPr>
        <w:spacing w:line="240" w:lineRule="auto"/>
        <w:jc w:val="center"/>
        <w:rPr>
          <w:rFonts w:asciiTheme="majorBidi" w:hAnsiTheme="majorBidi" w:cstheme="majorBidi"/>
          <w:sz w:val="20"/>
          <w:szCs w:val="20"/>
        </w:rPr>
      </w:pPr>
      <w:r w:rsidRPr="00637F58">
        <w:rPr>
          <w:rFonts w:asciiTheme="majorBidi" w:hAnsiTheme="majorBidi" w:cstheme="majorBidi"/>
          <w:sz w:val="20"/>
          <w:szCs w:val="20"/>
        </w:rPr>
        <w:t xml:space="preserve">Figure </w:t>
      </w:r>
      <w:r>
        <w:rPr>
          <w:rFonts w:asciiTheme="majorBidi" w:hAnsiTheme="majorBidi" w:cstheme="majorBidi"/>
          <w:sz w:val="20"/>
          <w:szCs w:val="20"/>
        </w:rPr>
        <w:t>6</w:t>
      </w:r>
      <w:r w:rsidRPr="00637F58">
        <w:rPr>
          <w:rFonts w:asciiTheme="majorBidi" w:hAnsiTheme="majorBidi" w:cstheme="majorBidi"/>
          <w:sz w:val="20"/>
          <w:szCs w:val="20"/>
        </w:rPr>
        <w:t xml:space="preserve">: </w:t>
      </w:r>
      <w:r w:rsidRPr="00142517">
        <w:rPr>
          <w:rFonts w:asciiTheme="majorBidi" w:hAnsiTheme="majorBidi" w:cstheme="majorBidi"/>
          <w:sz w:val="20"/>
          <w:szCs w:val="20"/>
        </w:rPr>
        <w:t>Class Diagram of New Zealand PHC Ecosystem</w:t>
      </w:r>
      <w:r w:rsidRPr="00637F58">
        <w:rPr>
          <w:rFonts w:asciiTheme="majorBidi" w:hAnsiTheme="majorBidi" w:cstheme="majorBidi"/>
          <w:sz w:val="20"/>
          <w:szCs w:val="20"/>
        </w:rPr>
        <w:t>.</w:t>
      </w:r>
    </w:p>
    <w:p w14:paraId="42F04F55" w14:textId="35BC2BF0" w:rsidR="00142517" w:rsidRDefault="00142517" w:rsidP="00142517">
      <w:pPr>
        <w:spacing w:after="0" w:line="240" w:lineRule="auto"/>
        <w:rPr>
          <w:rFonts w:asciiTheme="majorBidi" w:hAnsiTheme="majorBidi" w:cstheme="majorBidi"/>
          <w:sz w:val="20"/>
          <w:szCs w:val="20"/>
        </w:rPr>
      </w:pPr>
      <w:r>
        <w:rPr>
          <w:rFonts w:cstheme="minorHAnsi"/>
          <w:noProof/>
        </w:rPr>
        <w:lastRenderedPageBreak/>
        <w:drawing>
          <wp:inline distT="0" distB="0" distL="0" distR="0" wp14:anchorId="5849BDAD" wp14:editId="19AD8B5F">
            <wp:extent cx="6286500" cy="81534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1641" cy="8160068"/>
                    </a:xfrm>
                    <a:prstGeom prst="rect">
                      <a:avLst/>
                    </a:prstGeom>
                    <a:noFill/>
                    <a:ln>
                      <a:noFill/>
                    </a:ln>
                  </pic:spPr>
                </pic:pic>
              </a:graphicData>
            </a:graphic>
          </wp:inline>
        </w:drawing>
      </w:r>
    </w:p>
    <w:p w14:paraId="0EC9F93D" w14:textId="30A9F059" w:rsidR="00142517" w:rsidRPr="00637F58" w:rsidRDefault="00142517" w:rsidP="00142517">
      <w:pPr>
        <w:spacing w:after="0" w:line="240" w:lineRule="auto"/>
        <w:jc w:val="center"/>
        <w:rPr>
          <w:rFonts w:asciiTheme="majorBidi" w:hAnsiTheme="majorBidi" w:cstheme="majorBidi"/>
          <w:sz w:val="20"/>
          <w:szCs w:val="20"/>
        </w:rPr>
      </w:pPr>
    </w:p>
    <w:p w14:paraId="756B4CDC" w14:textId="7F438C4D" w:rsidR="00142517" w:rsidRDefault="00142517" w:rsidP="00142517">
      <w:pPr>
        <w:spacing w:line="240" w:lineRule="auto"/>
        <w:jc w:val="center"/>
        <w:rPr>
          <w:rFonts w:asciiTheme="majorBidi" w:hAnsiTheme="majorBidi" w:cstheme="majorBidi"/>
          <w:sz w:val="20"/>
          <w:szCs w:val="20"/>
        </w:rPr>
      </w:pPr>
      <w:r w:rsidRPr="00637F58">
        <w:rPr>
          <w:rFonts w:asciiTheme="majorBidi" w:hAnsiTheme="majorBidi" w:cstheme="majorBidi"/>
          <w:sz w:val="20"/>
          <w:szCs w:val="20"/>
        </w:rPr>
        <w:t xml:space="preserve">Figure </w:t>
      </w:r>
      <w:r>
        <w:rPr>
          <w:rFonts w:asciiTheme="majorBidi" w:hAnsiTheme="majorBidi" w:cstheme="majorBidi"/>
          <w:sz w:val="20"/>
          <w:szCs w:val="20"/>
        </w:rPr>
        <w:t>7</w:t>
      </w:r>
      <w:r w:rsidRPr="00637F58">
        <w:rPr>
          <w:rFonts w:asciiTheme="majorBidi" w:hAnsiTheme="majorBidi" w:cstheme="majorBidi"/>
          <w:sz w:val="20"/>
          <w:szCs w:val="20"/>
        </w:rPr>
        <w:t xml:space="preserve">: </w:t>
      </w:r>
      <w:r w:rsidRPr="00142517">
        <w:rPr>
          <w:rFonts w:asciiTheme="majorBidi" w:hAnsiTheme="majorBidi" w:cstheme="majorBidi"/>
          <w:sz w:val="20"/>
          <w:szCs w:val="20"/>
        </w:rPr>
        <w:t>Use Case Diagram - Patient</w:t>
      </w:r>
      <w:r w:rsidRPr="00637F58">
        <w:rPr>
          <w:rFonts w:asciiTheme="majorBidi" w:hAnsiTheme="majorBidi" w:cstheme="majorBidi"/>
          <w:sz w:val="20"/>
          <w:szCs w:val="20"/>
        </w:rPr>
        <w:t>.</w:t>
      </w:r>
    </w:p>
    <w:p w14:paraId="5D6A656D" w14:textId="4A16E752" w:rsidR="00142517" w:rsidRPr="00637F58" w:rsidRDefault="00142517" w:rsidP="00142517">
      <w:pPr>
        <w:spacing w:line="240" w:lineRule="auto"/>
        <w:jc w:val="center"/>
        <w:rPr>
          <w:rFonts w:asciiTheme="majorBidi" w:hAnsiTheme="majorBidi" w:cstheme="majorBidi"/>
          <w:sz w:val="20"/>
          <w:szCs w:val="20"/>
        </w:rPr>
      </w:pPr>
      <w:r w:rsidRPr="00706286">
        <w:rPr>
          <w:b/>
          <w:bCs/>
          <w:noProof/>
          <w:sz w:val="24"/>
          <w:szCs w:val="24"/>
        </w:rPr>
        <w:lastRenderedPageBreak/>
        <mc:AlternateContent>
          <mc:Choice Requires="wps">
            <w:drawing>
              <wp:anchor distT="45720" distB="45720" distL="114300" distR="114300" simplePos="0" relativeHeight="251659264" behindDoc="0" locked="0" layoutInCell="1" allowOverlap="1" wp14:anchorId="6BB501AA" wp14:editId="56780186">
                <wp:simplePos x="0" y="0"/>
                <wp:positionH relativeFrom="column">
                  <wp:posOffset>4941570</wp:posOffset>
                </wp:positionH>
                <wp:positionV relativeFrom="paragraph">
                  <wp:posOffset>3732530</wp:posOffset>
                </wp:positionV>
                <wp:extent cx="2674620" cy="567055"/>
                <wp:effectExtent l="6032"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674620" cy="567055"/>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14:paraId="19030D5D" w14:textId="0B5446E1" w:rsidR="00142517" w:rsidRPr="00142517" w:rsidRDefault="00142517" w:rsidP="00142517">
                            <w:pPr>
                              <w:pStyle w:val="Heading5"/>
                              <w:spacing w:before="0"/>
                              <w:jc w:val="center"/>
                              <w:rPr>
                                <w:rFonts w:asciiTheme="majorBidi" w:hAnsiTheme="majorBidi"/>
                                <w:color w:val="auto"/>
                                <w:sz w:val="20"/>
                                <w:szCs w:val="20"/>
                              </w:rPr>
                            </w:pPr>
                          </w:p>
                          <w:p w14:paraId="3551E592" w14:textId="68D45EED"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Figure 8: Sequence Diagram - Patient.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B501AA" id="_x0000_s1027" type="#_x0000_t202" style="position:absolute;left:0;text-align:left;margin-left:389.1pt;margin-top:293.9pt;width:210.6pt;height:44.65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" fillcolor="white [3201]" stroked="f" strokeweight="1pt">
                <v:textbox>
                  <w:txbxContent>
                    <w:p w14:paraId="19030D5D" w14:textId="0B5446E1" w:rsidR="00142517" w:rsidRPr="00142517" w:rsidRDefault="00142517" w:rsidP="00142517">
                      <w:pPr>
                        <w:pStyle w:val="Heading5"/>
                        <w:spacing w:before="0"/>
                        <w:jc w:val="center"/>
                        <w:rPr>
                          <w:rFonts w:asciiTheme="majorBidi" w:hAnsiTheme="majorBidi"/>
                          <w:color w:val="auto"/>
                          <w:sz w:val="20"/>
                          <w:szCs w:val="20"/>
                        </w:rPr>
                      </w:pPr>
                    </w:p>
                    <w:p w14:paraId="3551E592" w14:textId="68D45EED"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Figure 8: Sequence Diagram - Patient.</w:t>
                      </w:r>
                    </w:p>
                  </w:txbxContent>
                </v:textbox>
                <w10:wrap type="square"/>
              </v:shape>
            </w:pict>
          </mc:Fallback>
        </mc:AlternateContent>
      </w:r>
      <w:r>
        <w:rPr>
          <w:b/>
          <w:bCs/>
          <w:noProof/>
          <w:sz w:val="24"/>
          <w:szCs w:val="24"/>
        </w:rPr>
        <w:drawing>
          <wp:inline distT="0" distB="0" distL="0" distR="0" wp14:anchorId="5C23ADC2" wp14:editId="278805EC">
            <wp:extent cx="8517855" cy="5237145"/>
            <wp:effectExtent l="1905"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6200000">
                      <a:off x="0" y="0"/>
                      <a:ext cx="8563737" cy="5265355"/>
                    </a:xfrm>
                    <a:prstGeom prst="rect">
                      <a:avLst/>
                    </a:prstGeom>
                    <a:noFill/>
                    <a:ln>
                      <a:noFill/>
                    </a:ln>
                  </pic:spPr>
                </pic:pic>
              </a:graphicData>
            </a:graphic>
          </wp:inline>
        </w:drawing>
      </w:r>
    </w:p>
    <w:p w14:paraId="0EEE58BA" w14:textId="7DCECA6E" w:rsidR="00142517" w:rsidRDefault="00142517" w:rsidP="00142517">
      <w:pPr>
        <w:spacing w:after="0" w:line="240" w:lineRule="auto"/>
        <w:rPr>
          <w:rFonts w:asciiTheme="majorBidi" w:hAnsiTheme="majorBidi" w:cstheme="majorBidi"/>
          <w:sz w:val="20"/>
          <w:szCs w:val="20"/>
        </w:rPr>
      </w:pPr>
      <w:r>
        <w:rPr>
          <w:rFonts w:cstheme="minorHAnsi"/>
          <w:noProof/>
        </w:rPr>
        <w:lastRenderedPageBreak/>
        <w:drawing>
          <wp:inline distT="0" distB="0" distL="0" distR="0" wp14:anchorId="6DECB27A" wp14:editId="6208AEAE">
            <wp:extent cx="6150428" cy="8097866"/>
            <wp:effectExtent l="0" t="0" r="317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80034" cy="8136847"/>
                    </a:xfrm>
                    <a:prstGeom prst="rect">
                      <a:avLst/>
                    </a:prstGeom>
                    <a:noFill/>
                    <a:ln>
                      <a:noFill/>
                    </a:ln>
                  </pic:spPr>
                </pic:pic>
              </a:graphicData>
            </a:graphic>
          </wp:inline>
        </w:drawing>
      </w:r>
    </w:p>
    <w:p w14:paraId="7D2B88F3" w14:textId="6C6C7192" w:rsidR="00142517" w:rsidRPr="00637F58" w:rsidRDefault="00142517" w:rsidP="00142517">
      <w:pPr>
        <w:spacing w:after="0" w:line="240" w:lineRule="auto"/>
        <w:jc w:val="center"/>
        <w:rPr>
          <w:rFonts w:asciiTheme="majorBidi" w:hAnsiTheme="majorBidi" w:cstheme="majorBidi"/>
          <w:sz w:val="20"/>
          <w:szCs w:val="20"/>
        </w:rPr>
      </w:pPr>
    </w:p>
    <w:p w14:paraId="0A31D6C1" w14:textId="3E087D41" w:rsidR="00142517" w:rsidRDefault="00142517" w:rsidP="00142517">
      <w:pPr>
        <w:spacing w:line="240" w:lineRule="auto"/>
        <w:jc w:val="center"/>
        <w:rPr>
          <w:rFonts w:asciiTheme="majorBidi" w:hAnsiTheme="majorBidi" w:cstheme="majorBidi"/>
          <w:sz w:val="20"/>
          <w:szCs w:val="20"/>
        </w:rPr>
      </w:pPr>
      <w:r w:rsidRPr="00637F58">
        <w:rPr>
          <w:rFonts w:asciiTheme="majorBidi" w:hAnsiTheme="majorBidi" w:cstheme="majorBidi"/>
          <w:sz w:val="20"/>
          <w:szCs w:val="20"/>
        </w:rPr>
        <w:t xml:space="preserve">Figure </w:t>
      </w:r>
      <w:r>
        <w:rPr>
          <w:rFonts w:asciiTheme="majorBidi" w:hAnsiTheme="majorBidi" w:cstheme="majorBidi"/>
          <w:sz w:val="20"/>
          <w:szCs w:val="20"/>
        </w:rPr>
        <w:t>9</w:t>
      </w:r>
      <w:r w:rsidRPr="00637F58">
        <w:rPr>
          <w:rFonts w:asciiTheme="majorBidi" w:hAnsiTheme="majorBidi" w:cstheme="majorBidi"/>
          <w:sz w:val="20"/>
          <w:szCs w:val="20"/>
        </w:rPr>
        <w:t xml:space="preserve">: </w:t>
      </w:r>
      <w:r w:rsidRPr="00142517">
        <w:rPr>
          <w:rFonts w:asciiTheme="majorBidi" w:hAnsiTheme="majorBidi" w:cstheme="majorBidi"/>
          <w:sz w:val="20"/>
          <w:szCs w:val="20"/>
        </w:rPr>
        <w:t xml:space="preserve">Use Case Diagram </w:t>
      </w:r>
      <w:r>
        <w:rPr>
          <w:rFonts w:asciiTheme="majorBidi" w:hAnsiTheme="majorBidi" w:cstheme="majorBidi"/>
          <w:sz w:val="20"/>
          <w:szCs w:val="20"/>
        </w:rPr>
        <w:t>–</w:t>
      </w:r>
      <w:r w:rsidRPr="00142517">
        <w:rPr>
          <w:rFonts w:asciiTheme="majorBidi" w:hAnsiTheme="majorBidi" w:cstheme="majorBidi"/>
          <w:sz w:val="20"/>
          <w:szCs w:val="20"/>
        </w:rPr>
        <w:t xml:space="preserve"> </w:t>
      </w:r>
      <w:r>
        <w:rPr>
          <w:rFonts w:asciiTheme="majorBidi" w:hAnsiTheme="majorBidi" w:cstheme="majorBidi"/>
          <w:sz w:val="20"/>
          <w:szCs w:val="20"/>
        </w:rPr>
        <w:t>Health Practitioner</w:t>
      </w:r>
      <w:r w:rsidRPr="00637F58">
        <w:rPr>
          <w:rFonts w:asciiTheme="majorBidi" w:hAnsiTheme="majorBidi" w:cstheme="majorBidi"/>
          <w:sz w:val="20"/>
          <w:szCs w:val="20"/>
        </w:rPr>
        <w:t>.</w:t>
      </w:r>
    </w:p>
    <w:p w14:paraId="66B9F5CF" w14:textId="77777777" w:rsidR="00142517" w:rsidRDefault="00142517" w:rsidP="00142517">
      <w:pPr>
        <w:spacing w:line="240" w:lineRule="auto"/>
        <w:jc w:val="center"/>
        <w:rPr>
          <w:rFonts w:asciiTheme="majorBidi" w:hAnsiTheme="majorBidi" w:cstheme="majorBidi"/>
          <w:sz w:val="20"/>
          <w:szCs w:val="20"/>
        </w:rPr>
      </w:pPr>
    </w:p>
    <w:p w14:paraId="0138DAB9" w14:textId="19AAAD43" w:rsidR="00142517" w:rsidRDefault="00142517" w:rsidP="00142517">
      <w:pPr>
        <w:spacing w:after="0" w:line="240" w:lineRule="auto"/>
        <w:rPr>
          <w:rFonts w:asciiTheme="majorBidi" w:hAnsiTheme="majorBidi" w:cstheme="majorBidi"/>
          <w:sz w:val="20"/>
          <w:szCs w:val="20"/>
        </w:rPr>
      </w:pPr>
      <w:r w:rsidRPr="00706286">
        <w:rPr>
          <w:b/>
          <w:bCs/>
          <w:noProof/>
          <w:sz w:val="24"/>
          <w:szCs w:val="24"/>
        </w:rPr>
        <w:lastRenderedPageBreak/>
        <mc:AlternateContent>
          <mc:Choice Requires="wps">
            <w:drawing>
              <wp:anchor distT="45720" distB="45720" distL="114300" distR="114300" simplePos="0" relativeHeight="251661312" behindDoc="0" locked="0" layoutInCell="1" allowOverlap="1" wp14:anchorId="07D024EA" wp14:editId="0F64A45E">
                <wp:simplePos x="0" y="0"/>
                <wp:positionH relativeFrom="column">
                  <wp:posOffset>4732655</wp:posOffset>
                </wp:positionH>
                <wp:positionV relativeFrom="paragraph">
                  <wp:posOffset>4205605</wp:posOffset>
                </wp:positionV>
                <wp:extent cx="3272155" cy="567055"/>
                <wp:effectExtent l="0" t="0" r="4445" b="444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272155" cy="567055"/>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14:paraId="735463D8" w14:textId="4E67A31E" w:rsidR="00142517" w:rsidRPr="00142517" w:rsidRDefault="00142517" w:rsidP="00F03125">
                            <w:pPr>
                              <w:pStyle w:val="Heading5"/>
                              <w:spacing w:before="0"/>
                              <w:rPr>
                                <w:rFonts w:asciiTheme="majorBidi" w:hAnsiTheme="majorBidi"/>
                                <w:color w:val="auto"/>
                                <w:sz w:val="20"/>
                                <w:szCs w:val="20"/>
                              </w:rPr>
                            </w:pPr>
                          </w:p>
                          <w:p w14:paraId="07875CB8" w14:textId="334C8582"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 xml:space="preserve">Figure </w:t>
                            </w:r>
                            <w:r>
                              <w:rPr>
                                <w:rFonts w:asciiTheme="majorBidi" w:hAnsiTheme="majorBidi"/>
                                <w:color w:val="auto"/>
                                <w:sz w:val="20"/>
                                <w:szCs w:val="20"/>
                              </w:rPr>
                              <w:t>10</w:t>
                            </w:r>
                            <w:r w:rsidRPr="00142517">
                              <w:rPr>
                                <w:rFonts w:asciiTheme="majorBidi" w:hAnsiTheme="majorBidi"/>
                                <w:color w:val="auto"/>
                                <w:sz w:val="20"/>
                                <w:szCs w:val="20"/>
                              </w:rPr>
                              <w:t xml:space="preserve">: Sequence Diagram </w:t>
                            </w:r>
                            <w:r>
                              <w:rPr>
                                <w:rFonts w:asciiTheme="majorBidi" w:hAnsiTheme="majorBidi"/>
                                <w:color w:val="auto"/>
                                <w:sz w:val="20"/>
                                <w:szCs w:val="20"/>
                              </w:rPr>
                              <w:t>–</w:t>
                            </w:r>
                            <w:r w:rsidRPr="00142517">
                              <w:rPr>
                                <w:rFonts w:asciiTheme="majorBidi" w:hAnsiTheme="majorBidi"/>
                                <w:color w:val="auto"/>
                                <w:sz w:val="20"/>
                                <w:szCs w:val="20"/>
                              </w:rPr>
                              <w:t xml:space="preserve"> </w:t>
                            </w:r>
                            <w:r>
                              <w:rPr>
                                <w:rFonts w:asciiTheme="majorBidi" w:hAnsiTheme="majorBidi"/>
                                <w:color w:val="auto"/>
                                <w:sz w:val="20"/>
                                <w:szCs w:val="20"/>
                              </w:rPr>
                              <w:t>Health Practitioner.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D024EA" id="_x0000_s1028" type="#_x0000_t202" style="position:absolute;margin-left:372.65pt;margin-top:331.15pt;width:257.65pt;height:44.65pt;rotation:-90;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" fillcolor="white [3201]" stroked="f" strokeweight="1pt">
                <v:textbox>
                  <w:txbxContent>
                    <w:p w14:paraId="735463D8" w14:textId="4E67A31E" w:rsidR="00142517" w:rsidRPr="00142517" w:rsidRDefault="00142517" w:rsidP="00F03125">
                      <w:pPr>
                        <w:pStyle w:val="Heading5"/>
                        <w:spacing w:before="0"/>
                        <w:rPr>
                          <w:rFonts w:asciiTheme="majorBidi" w:hAnsiTheme="majorBidi"/>
                          <w:color w:val="auto"/>
                          <w:sz w:val="20"/>
                          <w:szCs w:val="20"/>
                        </w:rPr>
                      </w:pPr>
                    </w:p>
                    <w:p w14:paraId="07875CB8" w14:textId="334C8582"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 xml:space="preserve">Figure </w:t>
                      </w:r>
                      <w:r>
                        <w:rPr>
                          <w:rFonts w:asciiTheme="majorBidi" w:hAnsiTheme="majorBidi"/>
                          <w:color w:val="auto"/>
                          <w:sz w:val="20"/>
                          <w:szCs w:val="20"/>
                        </w:rPr>
                        <w:t>10</w:t>
                      </w:r>
                      <w:r w:rsidRPr="00142517">
                        <w:rPr>
                          <w:rFonts w:asciiTheme="majorBidi" w:hAnsiTheme="majorBidi"/>
                          <w:color w:val="auto"/>
                          <w:sz w:val="20"/>
                          <w:szCs w:val="20"/>
                        </w:rPr>
                        <w:t xml:space="preserve">: Sequence Diagram </w:t>
                      </w:r>
                      <w:r>
                        <w:rPr>
                          <w:rFonts w:asciiTheme="majorBidi" w:hAnsiTheme="majorBidi"/>
                          <w:color w:val="auto"/>
                          <w:sz w:val="20"/>
                          <w:szCs w:val="20"/>
                        </w:rPr>
                        <w:t>–</w:t>
                      </w:r>
                      <w:r w:rsidRPr="00142517">
                        <w:rPr>
                          <w:rFonts w:asciiTheme="majorBidi" w:hAnsiTheme="majorBidi"/>
                          <w:color w:val="auto"/>
                          <w:sz w:val="20"/>
                          <w:szCs w:val="20"/>
                        </w:rPr>
                        <w:t xml:space="preserve"> </w:t>
                      </w:r>
                      <w:r>
                        <w:rPr>
                          <w:rFonts w:asciiTheme="majorBidi" w:hAnsiTheme="majorBidi"/>
                          <w:color w:val="auto"/>
                          <w:sz w:val="20"/>
                          <w:szCs w:val="20"/>
                        </w:rPr>
                        <w:t>Health Practitioner.</w:t>
                      </w:r>
                    </w:p>
                  </w:txbxContent>
                </v:textbox>
                <w10:wrap type="square"/>
              </v:shape>
            </w:pict>
          </mc:Fallback>
        </mc:AlternateContent>
      </w:r>
      <w:r>
        <w:rPr>
          <w:b/>
          <w:bCs/>
          <w:noProof/>
          <w:sz w:val="24"/>
          <w:szCs w:val="24"/>
        </w:rPr>
        <w:drawing>
          <wp:inline distT="0" distB="0" distL="0" distR="0" wp14:anchorId="699200BA" wp14:editId="62EC9892">
            <wp:extent cx="8535035" cy="5929376"/>
            <wp:effectExtent l="7620" t="0" r="6985" b="6985"/>
            <wp:docPr id="53" name="Picture 5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Diagram&#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6200000">
                      <a:off x="0" y="0"/>
                      <a:ext cx="8551223" cy="5940622"/>
                    </a:xfrm>
                    <a:prstGeom prst="rect">
                      <a:avLst/>
                    </a:prstGeom>
                    <a:noFill/>
                    <a:ln>
                      <a:noFill/>
                    </a:ln>
                  </pic:spPr>
                </pic:pic>
              </a:graphicData>
            </a:graphic>
          </wp:inline>
        </w:drawing>
      </w:r>
    </w:p>
    <w:p w14:paraId="43C59F6F" w14:textId="0F8232BA" w:rsidR="00142517" w:rsidRDefault="00142517" w:rsidP="00142517">
      <w:pPr>
        <w:spacing w:after="0" w:line="240" w:lineRule="auto"/>
        <w:rPr>
          <w:rFonts w:asciiTheme="majorBidi" w:hAnsiTheme="majorBidi" w:cstheme="majorBidi"/>
          <w:sz w:val="20"/>
          <w:szCs w:val="20"/>
        </w:rPr>
      </w:pPr>
    </w:p>
    <w:p w14:paraId="10E0D567" w14:textId="3677D3EF" w:rsidR="00142517" w:rsidRPr="00142517" w:rsidRDefault="00142517" w:rsidP="00142517">
      <w:pPr>
        <w:spacing w:after="0" w:line="240" w:lineRule="auto"/>
        <w:rPr>
          <w:rFonts w:asciiTheme="majorBidi" w:hAnsiTheme="majorBidi" w:cstheme="majorBidi"/>
          <w:sz w:val="20"/>
          <w:szCs w:val="20"/>
        </w:rPr>
      </w:pPr>
      <w:r w:rsidRPr="00706286">
        <w:rPr>
          <w:b/>
          <w:bCs/>
          <w:noProof/>
          <w:sz w:val="24"/>
          <w:szCs w:val="24"/>
        </w:rPr>
        <w:lastRenderedPageBreak/>
        <mc:AlternateContent>
          <mc:Choice Requires="wps">
            <w:drawing>
              <wp:anchor distT="45720" distB="45720" distL="114300" distR="114300" simplePos="0" relativeHeight="251663360" behindDoc="0" locked="0" layoutInCell="1" allowOverlap="1" wp14:anchorId="2E0A588F" wp14:editId="554DA3AC">
                <wp:simplePos x="0" y="0"/>
                <wp:positionH relativeFrom="column">
                  <wp:posOffset>4378325</wp:posOffset>
                </wp:positionH>
                <wp:positionV relativeFrom="paragraph">
                  <wp:posOffset>4385310</wp:posOffset>
                </wp:positionV>
                <wp:extent cx="3814445" cy="567055"/>
                <wp:effectExtent l="4445"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814445" cy="567055"/>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14:paraId="2E6607B1" w14:textId="54899E60" w:rsidR="00142517" w:rsidRPr="00142517" w:rsidRDefault="00142517" w:rsidP="00142517">
                            <w:pPr>
                              <w:pStyle w:val="Heading5"/>
                              <w:spacing w:before="0"/>
                              <w:jc w:val="center"/>
                              <w:rPr>
                                <w:rFonts w:asciiTheme="majorBidi" w:hAnsiTheme="majorBidi"/>
                                <w:color w:val="auto"/>
                                <w:sz w:val="20"/>
                                <w:szCs w:val="20"/>
                              </w:rPr>
                            </w:pPr>
                          </w:p>
                          <w:p w14:paraId="1B41E72C" w14:textId="117CD1D2"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 xml:space="preserve">Figure </w:t>
                            </w:r>
                            <w:r w:rsidR="00652069">
                              <w:rPr>
                                <w:rFonts w:asciiTheme="majorBidi" w:hAnsiTheme="majorBidi"/>
                                <w:color w:val="auto"/>
                                <w:sz w:val="20"/>
                                <w:szCs w:val="20"/>
                              </w:rPr>
                              <w:t>1</w:t>
                            </w:r>
                            <w:r>
                              <w:rPr>
                                <w:rFonts w:asciiTheme="majorBidi" w:hAnsiTheme="majorBidi"/>
                                <w:color w:val="auto"/>
                                <w:sz w:val="20"/>
                                <w:szCs w:val="20"/>
                              </w:rPr>
                              <w:t>1</w:t>
                            </w:r>
                            <w:r w:rsidRPr="00142517">
                              <w:rPr>
                                <w:rFonts w:asciiTheme="majorBidi" w:hAnsiTheme="majorBidi"/>
                                <w:color w:val="auto"/>
                                <w:sz w:val="20"/>
                                <w:szCs w:val="20"/>
                              </w:rPr>
                              <w:t xml:space="preserve">: Sequence Diagram </w:t>
                            </w:r>
                            <w:r>
                              <w:rPr>
                                <w:rFonts w:asciiTheme="majorBidi" w:hAnsiTheme="majorBidi"/>
                                <w:color w:val="auto"/>
                                <w:sz w:val="20"/>
                                <w:szCs w:val="20"/>
                              </w:rPr>
                              <w:t>–</w:t>
                            </w:r>
                            <w:r w:rsidRPr="00142517">
                              <w:rPr>
                                <w:rFonts w:asciiTheme="majorBidi" w:hAnsiTheme="majorBidi"/>
                                <w:color w:val="auto"/>
                                <w:sz w:val="20"/>
                                <w:szCs w:val="20"/>
                              </w:rPr>
                              <w:t xml:space="preserve"> </w:t>
                            </w:r>
                            <w:r>
                              <w:rPr>
                                <w:rFonts w:asciiTheme="majorBidi" w:hAnsiTheme="majorBidi"/>
                                <w:color w:val="auto"/>
                                <w:sz w:val="20"/>
                                <w:szCs w:val="20"/>
                              </w:rPr>
                              <w:t>PHC Service Provider.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0A588F" id="Text Box 3" o:spid="_x0000_s1029" type="#_x0000_t202" style="position:absolute;margin-left:344.75pt;margin-top:345.3pt;width:300.35pt;height:44.65pt;rotation:-90;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" fillcolor="white [3201]" stroked="f" strokeweight="1pt">
                <v:textbox>
                  <w:txbxContent>
                    <w:p w14:paraId="2E6607B1" w14:textId="54899E60" w:rsidR="00142517" w:rsidRPr="00142517" w:rsidRDefault="00142517" w:rsidP="00142517">
                      <w:pPr>
                        <w:pStyle w:val="Heading5"/>
                        <w:spacing w:before="0"/>
                        <w:jc w:val="center"/>
                        <w:rPr>
                          <w:rFonts w:asciiTheme="majorBidi" w:hAnsiTheme="majorBidi"/>
                          <w:color w:val="auto"/>
                          <w:sz w:val="20"/>
                          <w:szCs w:val="20"/>
                        </w:rPr>
                      </w:pPr>
                    </w:p>
                    <w:p w14:paraId="1B41E72C" w14:textId="117CD1D2" w:rsidR="00142517" w:rsidRPr="00142517" w:rsidRDefault="00142517" w:rsidP="00142517">
                      <w:pPr>
                        <w:pStyle w:val="Heading5"/>
                        <w:spacing w:before="0"/>
                        <w:jc w:val="center"/>
                        <w:rPr>
                          <w:rFonts w:asciiTheme="majorBidi" w:hAnsiTheme="majorBidi"/>
                          <w:color w:val="auto"/>
                          <w:sz w:val="20"/>
                          <w:szCs w:val="20"/>
                        </w:rPr>
                      </w:pPr>
                      <w:r w:rsidRPr="00142517">
                        <w:rPr>
                          <w:rFonts w:asciiTheme="majorBidi" w:hAnsiTheme="majorBidi"/>
                          <w:color w:val="auto"/>
                          <w:sz w:val="20"/>
                          <w:szCs w:val="20"/>
                        </w:rPr>
                        <w:t xml:space="preserve">Figure </w:t>
                      </w:r>
                      <w:r w:rsidR="00652069">
                        <w:rPr>
                          <w:rFonts w:asciiTheme="majorBidi" w:hAnsiTheme="majorBidi"/>
                          <w:color w:val="auto"/>
                          <w:sz w:val="20"/>
                          <w:szCs w:val="20"/>
                        </w:rPr>
                        <w:t>1</w:t>
                      </w:r>
                      <w:r>
                        <w:rPr>
                          <w:rFonts w:asciiTheme="majorBidi" w:hAnsiTheme="majorBidi"/>
                          <w:color w:val="auto"/>
                          <w:sz w:val="20"/>
                          <w:szCs w:val="20"/>
                        </w:rPr>
                        <w:t>1</w:t>
                      </w:r>
                      <w:r w:rsidRPr="00142517">
                        <w:rPr>
                          <w:rFonts w:asciiTheme="majorBidi" w:hAnsiTheme="majorBidi"/>
                          <w:color w:val="auto"/>
                          <w:sz w:val="20"/>
                          <w:szCs w:val="20"/>
                        </w:rPr>
                        <w:t xml:space="preserve">: Sequence Diagram </w:t>
                      </w:r>
                      <w:r>
                        <w:rPr>
                          <w:rFonts w:asciiTheme="majorBidi" w:hAnsiTheme="majorBidi"/>
                          <w:color w:val="auto"/>
                          <w:sz w:val="20"/>
                          <w:szCs w:val="20"/>
                        </w:rPr>
                        <w:t>–</w:t>
                      </w:r>
                      <w:r w:rsidRPr="00142517">
                        <w:rPr>
                          <w:rFonts w:asciiTheme="majorBidi" w:hAnsiTheme="majorBidi"/>
                          <w:color w:val="auto"/>
                          <w:sz w:val="20"/>
                          <w:szCs w:val="20"/>
                        </w:rPr>
                        <w:t xml:space="preserve"> </w:t>
                      </w:r>
                      <w:r>
                        <w:rPr>
                          <w:rFonts w:asciiTheme="majorBidi" w:hAnsiTheme="majorBidi"/>
                          <w:color w:val="auto"/>
                          <w:sz w:val="20"/>
                          <w:szCs w:val="20"/>
                        </w:rPr>
                        <w:t>PHC Service Provider.</w:t>
                      </w:r>
                    </w:p>
                  </w:txbxContent>
                </v:textbox>
                <w10:wrap type="square"/>
              </v:shape>
            </w:pict>
          </mc:Fallback>
        </mc:AlternateContent>
      </w:r>
      <w:r>
        <w:rPr>
          <w:b/>
          <w:bCs/>
          <w:noProof/>
          <w:sz w:val="24"/>
          <w:szCs w:val="24"/>
        </w:rPr>
        <w:drawing>
          <wp:inline distT="0" distB="0" distL="0" distR="0" wp14:anchorId="776009DA" wp14:editId="39BA6DE1">
            <wp:extent cx="8534400" cy="5779326"/>
            <wp:effectExtent l="6032" t="0" r="6033" b="6032"/>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8550315" cy="5790103"/>
                    </a:xfrm>
                    <a:prstGeom prst="rect">
                      <a:avLst/>
                    </a:prstGeom>
                    <a:noFill/>
                    <a:ln>
                      <a:noFill/>
                    </a:ln>
                  </pic:spPr>
                </pic:pic>
              </a:graphicData>
            </a:graphic>
          </wp:inline>
        </w:drawing>
      </w:r>
    </w:p>
    <w:sectPr w:rsidR="00142517" w:rsidRPr="00142517" w:rsidSect="007C6708">
      <w:headerReference w:type="default" r:id="rId19"/>
      <w:footerReference w:type="default" r:id="rId20"/>
      <w:pgSz w:w="11906" w:h="16838"/>
      <w:pgMar w:top="851" w:right="851" w:bottom="1134" w:left="851" w:header="142" w:footer="6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96C04" w14:textId="77777777" w:rsidR="004F0C16" w:rsidRDefault="004F0C16" w:rsidP="00F47EF9">
      <w:pPr>
        <w:spacing w:after="0" w:line="240" w:lineRule="auto"/>
      </w:pPr>
      <w:r>
        <w:separator/>
      </w:r>
    </w:p>
  </w:endnote>
  <w:endnote w:type="continuationSeparator" w:id="0">
    <w:p w14:paraId="27F4150B" w14:textId="77777777" w:rsidR="004F0C16" w:rsidRDefault="004F0C16" w:rsidP="00F47E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351498"/>
      <w:docPartObj>
        <w:docPartGallery w:val="Page Numbers (Bottom of Page)"/>
        <w:docPartUnique/>
      </w:docPartObj>
    </w:sdtPr>
    <w:sdtEndPr>
      <w:rPr>
        <w:rFonts w:asciiTheme="majorBidi" w:hAnsiTheme="majorBidi" w:cstheme="majorBidi"/>
        <w:noProof/>
        <w:sz w:val="20"/>
        <w:szCs w:val="20"/>
      </w:rPr>
    </w:sdtEndPr>
    <w:sdtContent>
      <w:p w14:paraId="6931955F" w14:textId="73823114" w:rsidR="00B1393E" w:rsidRPr="00B1393E" w:rsidRDefault="00B1393E" w:rsidP="00B1393E">
        <w:pPr>
          <w:pStyle w:val="Footer"/>
          <w:jc w:val="center"/>
          <w:rPr>
            <w:rFonts w:asciiTheme="majorBidi" w:hAnsiTheme="majorBidi" w:cstheme="majorBidi"/>
            <w:i/>
            <w:sz w:val="20"/>
            <w:lang w:val="en-GB"/>
          </w:rPr>
        </w:pPr>
        <w:r w:rsidRPr="00B1393E">
          <w:rPr>
            <w:rFonts w:asciiTheme="majorBidi" w:hAnsiTheme="majorBidi" w:cstheme="majorBidi"/>
            <w:i/>
            <w:sz w:val="20"/>
          </w:rPr>
          <w:t xml:space="preserve">The </w:t>
        </w:r>
        <w:r w:rsidRPr="00B1393E">
          <w:rPr>
            <w:rFonts w:asciiTheme="majorBidi" w:hAnsiTheme="majorBidi" w:cstheme="majorBidi"/>
            <w:i/>
            <w:sz w:val="20"/>
            <w:lang w:val="en-US"/>
          </w:rPr>
          <w:t>22</w:t>
        </w:r>
        <w:r w:rsidRPr="00B1393E">
          <w:rPr>
            <w:rFonts w:asciiTheme="majorBidi" w:hAnsiTheme="majorBidi" w:cstheme="majorBidi"/>
            <w:i/>
            <w:sz w:val="20"/>
            <w:vertAlign w:val="superscript"/>
            <w:lang w:val="en-US"/>
          </w:rPr>
          <w:t>nd</w:t>
        </w:r>
        <w:r w:rsidRPr="00B1393E">
          <w:rPr>
            <w:rFonts w:asciiTheme="majorBidi" w:hAnsiTheme="majorBidi" w:cstheme="majorBidi"/>
            <w:i/>
            <w:sz w:val="20"/>
            <w:lang w:val="en-US"/>
          </w:rPr>
          <w:t xml:space="preserve"> </w:t>
        </w:r>
        <w:r w:rsidRPr="00B1393E">
          <w:rPr>
            <w:rFonts w:asciiTheme="majorBidi" w:hAnsiTheme="majorBidi" w:cstheme="majorBidi"/>
            <w:i/>
            <w:sz w:val="20"/>
          </w:rPr>
          <w:t>International Conference on Electronic Business,</w:t>
        </w:r>
        <w:r w:rsidRPr="00B1393E">
          <w:rPr>
            <w:rFonts w:asciiTheme="majorBidi" w:hAnsiTheme="majorBidi" w:cstheme="majorBidi"/>
            <w:i/>
            <w:sz w:val="20"/>
            <w:lang w:val="en-US"/>
          </w:rPr>
          <w:t xml:space="preserve"> Bangkok, Thailand</w:t>
        </w:r>
        <w:r w:rsidRPr="00B1393E">
          <w:rPr>
            <w:rFonts w:asciiTheme="majorBidi" w:hAnsiTheme="majorBidi" w:cstheme="majorBidi"/>
            <w:i/>
            <w:sz w:val="20"/>
          </w:rPr>
          <w:t xml:space="preserve">, </w:t>
        </w:r>
        <w:r w:rsidRPr="00B1393E">
          <w:rPr>
            <w:rFonts w:asciiTheme="majorBidi" w:hAnsiTheme="majorBidi" w:cstheme="majorBidi"/>
            <w:i/>
            <w:sz w:val="20"/>
            <w:lang w:val="en-US"/>
          </w:rPr>
          <w:t>October 13-17, 2022</w:t>
        </w:r>
      </w:p>
      <w:p w14:paraId="3781CD8E" w14:textId="58FF2E34" w:rsidR="00F71EA8" w:rsidRPr="00B1393E" w:rsidRDefault="00142517" w:rsidP="00B1393E">
        <w:pPr>
          <w:pStyle w:val="Footer"/>
          <w:jc w:val="center"/>
          <w:rPr>
            <w:rFonts w:asciiTheme="majorBidi" w:hAnsiTheme="majorBidi" w:cstheme="majorBidi"/>
            <w:sz w:val="20"/>
            <w:szCs w:val="20"/>
          </w:rPr>
        </w:pPr>
        <w:r w:rsidRPr="00B1393E">
          <w:rPr>
            <w:rFonts w:asciiTheme="majorBidi" w:hAnsiTheme="majorBidi" w:cstheme="majorBidi"/>
            <w:sz w:val="20"/>
            <w:szCs w:val="20"/>
          </w:rPr>
          <w:fldChar w:fldCharType="begin"/>
        </w:r>
        <w:r w:rsidRPr="00B1393E">
          <w:rPr>
            <w:rFonts w:asciiTheme="majorBidi" w:hAnsiTheme="majorBidi" w:cstheme="majorBidi"/>
            <w:sz w:val="20"/>
            <w:szCs w:val="20"/>
          </w:rPr>
          <w:instrText xml:space="preserve"> PAGE   \* MERGEFORMAT </w:instrText>
        </w:r>
        <w:r w:rsidRPr="00B1393E">
          <w:rPr>
            <w:rFonts w:asciiTheme="majorBidi" w:hAnsiTheme="majorBidi" w:cstheme="majorBidi"/>
            <w:sz w:val="20"/>
            <w:szCs w:val="20"/>
          </w:rPr>
          <w:fldChar w:fldCharType="separate"/>
        </w:r>
        <w:r w:rsidRPr="00B1393E">
          <w:rPr>
            <w:rFonts w:asciiTheme="majorBidi" w:hAnsiTheme="majorBidi" w:cstheme="majorBidi"/>
            <w:noProof/>
            <w:sz w:val="20"/>
            <w:szCs w:val="20"/>
          </w:rPr>
          <w:t>2</w:t>
        </w:r>
        <w:r w:rsidRPr="00B1393E">
          <w:rPr>
            <w:rFonts w:asciiTheme="majorBidi" w:hAnsiTheme="majorBidi" w:cstheme="majorBidi"/>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D1AFDD" w14:textId="77777777" w:rsidR="004F0C16" w:rsidRDefault="004F0C16" w:rsidP="00F47EF9">
      <w:pPr>
        <w:spacing w:after="0" w:line="240" w:lineRule="auto"/>
      </w:pPr>
      <w:r>
        <w:separator/>
      </w:r>
    </w:p>
  </w:footnote>
  <w:footnote w:type="continuationSeparator" w:id="0">
    <w:p w14:paraId="49720DDE" w14:textId="77777777" w:rsidR="004F0C16" w:rsidRDefault="004F0C16" w:rsidP="00F47E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3D247" w14:textId="1C5608F5" w:rsidR="00637F58" w:rsidRDefault="00637F58" w:rsidP="00637F58">
    <w:pPr>
      <w:tabs>
        <w:tab w:val="left" w:pos="1012"/>
      </w:tabs>
      <w:spacing w:after="0" w:line="240" w:lineRule="auto"/>
      <w:rPr>
        <w:rFonts w:asciiTheme="majorBidi" w:hAnsiTheme="majorBidi" w:cstheme="majorBidi"/>
        <w:sz w:val="20"/>
        <w:lang w:val="en-US" w:eastAsia="zh-TW"/>
      </w:rPr>
    </w:pPr>
    <w:bookmarkStart w:id="8" w:name="_Hlk114359287"/>
    <w:bookmarkEnd w:id="8"/>
    <w:r>
      <w:rPr>
        <w:rFonts w:asciiTheme="majorBidi" w:hAnsiTheme="majorBidi" w:cstheme="majorBidi"/>
        <w:sz w:val="20"/>
        <w:lang w:val="en-US" w:eastAsia="zh-TW"/>
      </w:rPr>
      <w:tab/>
    </w:r>
  </w:p>
  <w:tbl>
    <w:tblPr>
      <w:tblStyle w:val="TableGrid"/>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21"/>
      <w:gridCol w:w="4847"/>
    </w:tblGrid>
    <w:tr w:rsidR="00637F58" w14:paraId="2B096481" w14:textId="77777777" w:rsidTr="00637F58">
      <w:trPr>
        <w:trHeight w:val="885"/>
      </w:trPr>
      <w:tc>
        <w:tcPr>
          <w:tcW w:w="5421" w:type="dxa"/>
        </w:tcPr>
        <w:p w14:paraId="41F14EE8" w14:textId="6B827FFE" w:rsidR="00637F58" w:rsidRDefault="00637F58" w:rsidP="00637F58">
          <w:pPr>
            <w:spacing w:line="180" w:lineRule="auto"/>
            <w:jc w:val="both"/>
            <w:rPr>
              <w:rFonts w:asciiTheme="majorBidi" w:hAnsiTheme="majorBidi" w:cstheme="majorBidi"/>
              <w:sz w:val="20"/>
              <w:lang w:val="en-US" w:eastAsia="zh-TW"/>
            </w:rPr>
          </w:pPr>
        </w:p>
      </w:tc>
      <w:tc>
        <w:tcPr>
          <w:tcW w:w="4847" w:type="dxa"/>
        </w:tcPr>
        <w:p w14:paraId="6585A5F1" w14:textId="51ABE94D" w:rsidR="00637F58" w:rsidRDefault="00637F58" w:rsidP="00637F58">
          <w:pPr>
            <w:jc w:val="right"/>
            <w:rPr>
              <w:rFonts w:asciiTheme="majorBidi" w:hAnsiTheme="majorBidi" w:cstheme="majorBidi"/>
              <w:b/>
              <w:color w:val="FF0000"/>
              <w:sz w:val="28"/>
              <w:szCs w:val="28"/>
            </w:rPr>
          </w:pPr>
          <w:r w:rsidRPr="00637F58">
            <w:rPr>
              <w:rFonts w:asciiTheme="majorBidi" w:hAnsiTheme="majorBidi" w:cstheme="majorBidi"/>
              <w:i/>
              <w:sz w:val="20"/>
              <w:lang w:val="en-US" w:eastAsia="zh-TW"/>
            </w:rPr>
            <w:t>Zahid, Sharma, Wingreen</w:t>
          </w:r>
          <w:r w:rsidR="00B1393E">
            <w:rPr>
              <w:rFonts w:asciiTheme="majorBidi" w:hAnsiTheme="majorBidi" w:cstheme="majorBidi"/>
              <w:i/>
              <w:sz w:val="20"/>
              <w:lang w:val="en-US" w:eastAsia="zh-TW"/>
            </w:rPr>
            <w:t>,</w:t>
          </w:r>
          <w:r w:rsidRPr="00637F58">
            <w:rPr>
              <w:rFonts w:asciiTheme="majorBidi" w:hAnsiTheme="majorBidi" w:cstheme="majorBidi"/>
              <w:i/>
              <w:sz w:val="20"/>
              <w:lang w:val="en-US" w:eastAsia="zh-TW"/>
            </w:rPr>
            <w:t xml:space="preserve"> &amp; Inthiran</w:t>
          </w:r>
        </w:p>
        <w:p w14:paraId="616CEE93" w14:textId="77777777" w:rsidR="00637F58" w:rsidRDefault="00637F58" w:rsidP="00637F58">
          <w:pPr>
            <w:tabs>
              <w:tab w:val="left" w:pos="1012"/>
            </w:tabs>
            <w:rPr>
              <w:rFonts w:asciiTheme="majorBidi" w:hAnsiTheme="majorBidi" w:cstheme="majorBidi"/>
              <w:sz w:val="20"/>
              <w:lang w:val="en-US" w:eastAsia="zh-TW"/>
            </w:rPr>
          </w:pPr>
        </w:p>
      </w:tc>
    </w:tr>
  </w:tbl>
  <w:p w14:paraId="287A98AC" w14:textId="21659C40" w:rsidR="00637F58" w:rsidRPr="00637F58" w:rsidRDefault="00637F58" w:rsidP="00637F58">
    <w:pPr>
      <w:pStyle w:val="Header"/>
      <w:rPr>
        <w:rFonts w:asciiTheme="majorBidi" w:hAnsiTheme="majorBidi" w:cstheme="majorBidi"/>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24AF3"/>
    <w:multiLevelType w:val="hybridMultilevel"/>
    <w:tmpl w:val="6AD4D83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07B5592B"/>
    <w:multiLevelType w:val="hybridMultilevel"/>
    <w:tmpl w:val="3F3A08DE"/>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2" w15:restartNumberingAfterBreak="0">
    <w:nsid w:val="0F3B793F"/>
    <w:multiLevelType w:val="hybridMultilevel"/>
    <w:tmpl w:val="913E89DE"/>
    <w:lvl w:ilvl="0" w:tplc="14090001">
      <w:start w:val="1"/>
      <w:numFmt w:val="bullet"/>
      <w:lvlText w:val=""/>
      <w:lvlJc w:val="left"/>
      <w:pPr>
        <w:ind w:left="-1080" w:hanging="360"/>
      </w:pPr>
      <w:rPr>
        <w:rFonts w:ascii="Symbol" w:hAnsi="Symbol" w:hint="default"/>
      </w:rPr>
    </w:lvl>
    <w:lvl w:ilvl="1" w:tplc="14090003" w:tentative="1">
      <w:start w:val="1"/>
      <w:numFmt w:val="bullet"/>
      <w:lvlText w:val="o"/>
      <w:lvlJc w:val="left"/>
      <w:pPr>
        <w:ind w:left="-360" w:hanging="360"/>
      </w:pPr>
      <w:rPr>
        <w:rFonts w:ascii="Courier New" w:hAnsi="Courier New" w:cs="Courier New" w:hint="default"/>
      </w:rPr>
    </w:lvl>
    <w:lvl w:ilvl="2" w:tplc="14090005" w:tentative="1">
      <w:start w:val="1"/>
      <w:numFmt w:val="bullet"/>
      <w:lvlText w:val=""/>
      <w:lvlJc w:val="left"/>
      <w:pPr>
        <w:ind w:left="360" w:hanging="360"/>
      </w:pPr>
      <w:rPr>
        <w:rFonts w:ascii="Wingdings" w:hAnsi="Wingdings" w:hint="default"/>
      </w:rPr>
    </w:lvl>
    <w:lvl w:ilvl="3" w:tplc="14090001" w:tentative="1">
      <w:start w:val="1"/>
      <w:numFmt w:val="bullet"/>
      <w:lvlText w:val=""/>
      <w:lvlJc w:val="left"/>
      <w:pPr>
        <w:ind w:left="1080" w:hanging="360"/>
      </w:pPr>
      <w:rPr>
        <w:rFonts w:ascii="Symbol" w:hAnsi="Symbol" w:hint="default"/>
      </w:rPr>
    </w:lvl>
    <w:lvl w:ilvl="4" w:tplc="14090003" w:tentative="1">
      <w:start w:val="1"/>
      <w:numFmt w:val="bullet"/>
      <w:lvlText w:val="o"/>
      <w:lvlJc w:val="left"/>
      <w:pPr>
        <w:ind w:left="1800" w:hanging="360"/>
      </w:pPr>
      <w:rPr>
        <w:rFonts w:ascii="Courier New" w:hAnsi="Courier New" w:cs="Courier New" w:hint="default"/>
      </w:rPr>
    </w:lvl>
    <w:lvl w:ilvl="5" w:tplc="14090005" w:tentative="1">
      <w:start w:val="1"/>
      <w:numFmt w:val="bullet"/>
      <w:lvlText w:val=""/>
      <w:lvlJc w:val="left"/>
      <w:pPr>
        <w:ind w:left="2520" w:hanging="360"/>
      </w:pPr>
      <w:rPr>
        <w:rFonts w:ascii="Wingdings" w:hAnsi="Wingdings" w:hint="default"/>
      </w:rPr>
    </w:lvl>
    <w:lvl w:ilvl="6" w:tplc="14090001" w:tentative="1">
      <w:start w:val="1"/>
      <w:numFmt w:val="bullet"/>
      <w:lvlText w:val=""/>
      <w:lvlJc w:val="left"/>
      <w:pPr>
        <w:ind w:left="3240" w:hanging="360"/>
      </w:pPr>
      <w:rPr>
        <w:rFonts w:ascii="Symbol" w:hAnsi="Symbol" w:hint="default"/>
      </w:rPr>
    </w:lvl>
    <w:lvl w:ilvl="7" w:tplc="14090003" w:tentative="1">
      <w:start w:val="1"/>
      <w:numFmt w:val="bullet"/>
      <w:lvlText w:val="o"/>
      <w:lvlJc w:val="left"/>
      <w:pPr>
        <w:ind w:left="3960" w:hanging="360"/>
      </w:pPr>
      <w:rPr>
        <w:rFonts w:ascii="Courier New" w:hAnsi="Courier New" w:cs="Courier New" w:hint="default"/>
      </w:rPr>
    </w:lvl>
    <w:lvl w:ilvl="8" w:tplc="14090005" w:tentative="1">
      <w:start w:val="1"/>
      <w:numFmt w:val="bullet"/>
      <w:lvlText w:val=""/>
      <w:lvlJc w:val="left"/>
      <w:pPr>
        <w:ind w:left="4680" w:hanging="360"/>
      </w:pPr>
      <w:rPr>
        <w:rFonts w:ascii="Wingdings" w:hAnsi="Wingdings" w:hint="default"/>
      </w:rPr>
    </w:lvl>
  </w:abstractNum>
  <w:abstractNum w:abstractNumId="3" w15:restartNumberingAfterBreak="0">
    <w:nsid w:val="250265CD"/>
    <w:multiLevelType w:val="hybridMultilevel"/>
    <w:tmpl w:val="884E9D94"/>
    <w:lvl w:ilvl="0" w:tplc="14090005">
      <w:start w:val="1"/>
      <w:numFmt w:val="bullet"/>
      <w:lvlText w:val=""/>
      <w:lvlJc w:val="left"/>
      <w:pPr>
        <w:ind w:left="720" w:hanging="360"/>
      </w:pPr>
      <w:rPr>
        <w:rFonts w:ascii="Wingdings" w:hAnsi="Wingdings"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15:restartNumberingAfterBreak="0">
    <w:nsid w:val="271D4EA3"/>
    <w:multiLevelType w:val="hybridMultilevel"/>
    <w:tmpl w:val="2DAEED08"/>
    <w:lvl w:ilvl="0" w:tplc="14090003">
      <w:start w:val="1"/>
      <w:numFmt w:val="bullet"/>
      <w:lvlText w:val="o"/>
      <w:lvlJc w:val="left"/>
      <w:pPr>
        <w:ind w:left="360" w:hanging="360"/>
      </w:pPr>
      <w:rPr>
        <w:rFonts w:ascii="Courier New" w:hAnsi="Courier New" w:cs="Courier New"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5" w15:restartNumberingAfterBreak="0">
    <w:nsid w:val="28EF019B"/>
    <w:multiLevelType w:val="hybridMultilevel"/>
    <w:tmpl w:val="9EBACCF0"/>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6" w15:restartNumberingAfterBreak="0">
    <w:nsid w:val="2AF35B2A"/>
    <w:multiLevelType w:val="hybridMultilevel"/>
    <w:tmpl w:val="DBF024EE"/>
    <w:lvl w:ilvl="0" w:tplc="14090003">
      <w:start w:val="1"/>
      <w:numFmt w:val="bullet"/>
      <w:lvlText w:val="o"/>
      <w:lvlJc w:val="left"/>
      <w:pPr>
        <w:ind w:left="360" w:hanging="360"/>
      </w:pPr>
      <w:rPr>
        <w:rFonts w:ascii="Courier New" w:hAnsi="Courier New" w:cs="Courier New"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7" w15:restartNumberingAfterBreak="0">
    <w:nsid w:val="2B593015"/>
    <w:multiLevelType w:val="hybridMultilevel"/>
    <w:tmpl w:val="8DA205BA"/>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8" w15:restartNumberingAfterBreak="0">
    <w:nsid w:val="336D1763"/>
    <w:multiLevelType w:val="hybridMultilevel"/>
    <w:tmpl w:val="52924514"/>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9" w15:restartNumberingAfterBreak="0">
    <w:nsid w:val="36AC2E59"/>
    <w:multiLevelType w:val="hybridMultilevel"/>
    <w:tmpl w:val="99DC0BD0"/>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0" w15:restartNumberingAfterBreak="0">
    <w:nsid w:val="41C42E95"/>
    <w:multiLevelType w:val="hybridMultilevel"/>
    <w:tmpl w:val="ABAA310C"/>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1" w15:restartNumberingAfterBreak="0">
    <w:nsid w:val="50591B34"/>
    <w:multiLevelType w:val="hybridMultilevel"/>
    <w:tmpl w:val="FC5E65EC"/>
    <w:lvl w:ilvl="0" w:tplc="14090003">
      <w:start w:val="1"/>
      <w:numFmt w:val="bullet"/>
      <w:lvlText w:val="o"/>
      <w:lvlJc w:val="left"/>
      <w:pPr>
        <w:ind w:left="360" w:hanging="360"/>
      </w:pPr>
      <w:rPr>
        <w:rFonts w:ascii="Courier New" w:hAnsi="Courier New" w:cs="Courier New" w:hint="default"/>
      </w:rPr>
    </w:lvl>
    <w:lvl w:ilvl="1" w:tplc="14090003">
      <w:start w:val="1"/>
      <w:numFmt w:val="bullet"/>
      <w:lvlText w:val="o"/>
      <w:lvlJc w:val="left"/>
      <w:pPr>
        <w:ind w:left="1080" w:hanging="360"/>
      </w:pPr>
      <w:rPr>
        <w:rFonts w:ascii="Courier New" w:hAnsi="Courier New" w:cs="Courier New" w:hint="default"/>
      </w:rPr>
    </w:lvl>
    <w:lvl w:ilvl="2" w:tplc="14090005">
      <w:start w:val="1"/>
      <w:numFmt w:val="bullet"/>
      <w:lvlText w:val=""/>
      <w:lvlJc w:val="left"/>
      <w:pPr>
        <w:ind w:left="1800" w:hanging="360"/>
      </w:pPr>
      <w:rPr>
        <w:rFonts w:ascii="Wingdings" w:hAnsi="Wingdings" w:hint="default"/>
      </w:rPr>
    </w:lvl>
    <w:lvl w:ilvl="3" w:tplc="14090001">
      <w:start w:val="1"/>
      <w:numFmt w:val="bullet"/>
      <w:lvlText w:val=""/>
      <w:lvlJc w:val="left"/>
      <w:pPr>
        <w:ind w:left="2520" w:hanging="360"/>
      </w:pPr>
      <w:rPr>
        <w:rFonts w:ascii="Symbol" w:hAnsi="Symbol" w:hint="default"/>
      </w:rPr>
    </w:lvl>
    <w:lvl w:ilvl="4" w:tplc="14090003">
      <w:start w:val="1"/>
      <w:numFmt w:val="bullet"/>
      <w:lvlText w:val="o"/>
      <w:lvlJc w:val="left"/>
      <w:pPr>
        <w:ind w:left="3240" w:hanging="360"/>
      </w:pPr>
      <w:rPr>
        <w:rFonts w:ascii="Courier New" w:hAnsi="Courier New" w:cs="Courier New" w:hint="default"/>
      </w:rPr>
    </w:lvl>
    <w:lvl w:ilvl="5" w:tplc="14090005">
      <w:start w:val="1"/>
      <w:numFmt w:val="bullet"/>
      <w:lvlText w:val=""/>
      <w:lvlJc w:val="left"/>
      <w:pPr>
        <w:ind w:left="3960" w:hanging="360"/>
      </w:pPr>
      <w:rPr>
        <w:rFonts w:ascii="Wingdings" w:hAnsi="Wingdings" w:hint="default"/>
      </w:rPr>
    </w:lvl>
    <w:lvl w:ilvl="6" w:tplc="14090001">
      <w:start w:val="1"/>
      <w:numFmt w:val="bullet"/>
      <w:lvlText w:val=""/>
      <w:lvlJc w:val="left"/>
      <w:pPr>
        <w:ind w:left="4680" w:hanging="360"/>
      </w:pPr>
      <w:rPr>
        <w:rFonts w:ascii="Symbol" w:hAnsi="Symbol" w:hint="default"/>
      </w:rPr>
    </w:lvl>
    <w:lvl w:ilvl="7" w:tplc="14090003">
      <w:start w:val="1"/>
      <w:numFmt w:val="bullet"/>
      <w:lvlText w:val="o"/>
      <w:lvlJc w:val="left"/>
      <w:pPr>
        <w:ind w:left="5400" w:hanging="360"/>
      </w:pPr>
      <w:rPr>
        <w:rFonts w:ascii="Courier New" w:hAnsi="Courier New" w:cs="Courier New" w:hint="default"/>
      </w:rPr>
    </w:lvl>
    <w:lvl w:ilvl="8" w:tplc="14090005">
      <w:start w:val="1"/>
      <w:numFmt w:val="bullet"/>
      <w:lvlText w:val=""/>
      <w:lvlJc w:val="left"/>
      <w:pPr>
        <w:ind w:left="6120" w:hanging="360"/>
      </w:pPr>
      <w:rPr>
        <w:rFonts w:ascii="Wingdings" w:hAnsi="Wingdings" w:hint="default"/>
      </w:rPr>
    </w:lvl>
  </w:abstractNum>
  <w:abstractNum w:abstractNumId="12" w15:restartNumberingAfterBreak="0">
    <w:nsid w:val="528B6345"/>
    <w:multiLevelType w:val="multilevel"/>
    <w:tmpl w:val="7C288A9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15:restartNumberingAfterBreak="0">
    <w:nsid w:val="6E8114A0"/>
    <w:multiLevelType w:val="hybridMultilevel"/>
    <w:tmpl w:val="04F6A84E"/>
    <w:lvl w:ilvl="0" w:tplc="14090005">
      <w:start w:val="1"/>
      <w:numFmt w:val="bullet"/>
      <w:lvlText w:val=""/>
      <w:lvlJc w:val="left"/>
      <w:pPr>
        <w:ind w:left="360" w:hanging="360"/>
      </w:pPr>
      <w:rPr>
        <w:rFonts w:ascii="Wingdings" w:hAnsi="Wingdings"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num w:numId="1" w16cid:durableId="1695226316">
    <w:abstractNumId w:val="2"/>
  </w:num>
  <w:num w:numId="2" w16cid:durableId="622229912">
    <w:abstractNumId w:val="0"/>
  </w:num>
  <w:num w:numId="3" w16cid:durableId="710039715">
    <w:abstractNumId w:val="9"/>
  </w:num>
  <w:num w:numId="4" w16cid:durableId="1687512517">
    <w:abstractNumId w:val="6"/>
  </w:num>
  <w:num w:numId="5" w16cid:durableId="1878275756">
    <w:abstractNumId w:val="12"/>
  </w:num>
  <w:num w:numId="6" w16cid:durableId="1881891137">
    <w:abstractNumId w:val="5"/>
  </w:num>
  <w:num w:numId="7" w16cid:durableId="1930576340">
    <w:abstractNumId w:val="1"/>
  </w:num>
  <w:num w:numId="8" w16cid:durableId="1172799406">
    <w:abstractNumId w:val="7"/>
  </w:num>
  <w:num w:numId="9" w16cid:durableId="1311053091">
    <w:abstractNumId w:val="10"/>
  </w:num>
  <w:num w:numId="10" w16cid:durableId="1172600571">
    <w:abstractNumId w:val="13"/>
  </w:num>
  <w:num w:numId="11" w16cid:durableId="1369065635">
    <w:abstractNumId w:val="8"/>
  </w:num>
  <w:num w:numId="12" w16cid:durableId="1155489548">
    <w:abstractNumId w:val="3"/>
  </w:num>
  <w:num w:numId="13" w16cid:durableId="1110468716">
    <w:abstractNumId w:val="4"/>
  </w:num>
  <w:num w:numId="14" w16cid:durableId="1137333974">
    <w:abstractNumId w:val="1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LewMDQ1MDM1NLK0MDFT0lEKTi0uzszPAykwNK4FAEyakVUtAAAA"/>
  </w:docVars>
  <w:rsids>
    <w:rsidRoot w:val="00D33A32"/>
    <w:rsid w:val="000320D7"/>
    <w:rsid w:val="000B58C6"/>
    <w:rsid w:val="000B6563"/>
    <w:rsid w:val="001308ED"/>
    <w:rsid w:val="00132EEC"/>
    <w:rsid w:val="00137E16"/>
    <w:rsid w:val="00142517"/>
    <w:rsid w:val="0014363B"/>
    <w:rsid w:val="00274ADD"/>
    <w:rsid w:val="002B39B4"/>
    <w:rsid w:val="0031237F"/>
    <w:rsid w:val="00337176"/>
    <w:rsid w:val="003E3095"/>
    <w:rsid w:val="00421256"/>
    <w:rsid w:val="0044344B"/>
    <w:rsid w:val="00461EE3"/>
    <w:rsid w:val="004A6B0C"/>
    <w:rsid w:val="004E10FA"/>
    <w:rsid w:val="004F0C16"/>
    <w:rsid w:val="00512C5B"/>
    <w:rsid w:val="00532C61"/>
    <w:rsid w:val="005416A5"/>
    <w:rsid w:val="005458B4"/>
    <w:rsid w:val="00551E1A"/>
    <w:rsid w:val="00573837"/>
    <w:rsid w:val="005A53A3"/>
    <w:rsid w:val="005B5506"/>
    <w:rsid w:val="005E33DD"/>
    <w:rsid w:val="00605BC7"/>
    <w:rsid w:val="00636683"/>
    <w:rsid w:val="00637F58"/>
    <w:rsid w:val="00652069"/>
    <w:rsid w:val="0071633F"/>
    <w:rsid w:val="00752787"/>
    <w:rsid w:val="00786AFC"/>
    <w:rsid w:val="007C6181"/>
    <w:rsid w:val="007C6708"/>
    <w:rsid w:val="008101F3"/>
    <w:rsid w:val="00826358"/>
    <w:rsid w:val="00902D74"/>
    <w:rsid w:val="00917D60"/>
    <w:rsid w:val="00956854"/>
    <w:rsid w:val="009D496A"/>
    <w:rsid w:val="00A40BE4"/>
    <w:rsid w:val="00A42355"/>
    <w:rsid w:val="00A57307"/>
    <w:rsid w:val="00A6404A"/>
    <w:rsid w:val="00B1393E"/>
    <w:rsid w:val="00B54C1D"/>
    <w:rsid w:val="00B95CE5"/>
    <w:rsid w:val="00BA7700"/>
    <w:rsid w:val="00BB1B7D"/>
    <w:rsid w:val="00BE3A06"/>
    <w:rsid w:val="00BE4E1C"/>
    <w:rsid w:val="00C233CC"/>
    <w:rsid w:val="00C324D1"/>
    <w:rsid w:val="00C33578"/>
    <w:rsid w:val="00CB27E6"/>
    <w:rsid w:val="00CB53D8"/>
    <w:rsid w:val="00CD034A"/>
    <w:rsid w:val="00CF3C93"/>
    <w:rsid w:val="00D33A32"/>
    <w:rsid w:val="00D504B2"/>
    <w:rsid w:val="00D659E6"/>
    <w:rsid w:val="00D719F6"/>
    <w:rsid w:val="00D949CD"/>
    <w:rsid w:val="00DA33AC"/>
    <w:rsid w:val="00DC225A"/>
    <w:rsid w:val="00DC50C2"/>
    <w:rsid w:val="00E06D73"/>
    <w:rsid w:val="00E10177"/>
    <w:rsid w:val="00E21209"/>
    <w:rsid w:val="00E26595"/>
    <w:rsid w:val="00EA22BE"/>
    <w:rsid w:val="00F03125"/>
    <w:rsid w:val="00F4729B"/>
    <w:rsid w:val="00F47EF9"/>
    <w:rsid w:val="00F71EA8"/>
    <w:rsid w:val="00FA5021"/>
    <w:rsid w:val="00FB4E65"/>
    <w:rsid w:val="00FB65FA"/>
  </w:rsids>
  <m:mathPr>
    <m:mathFont m:val="Cambria Math"/>
    <m:brkBin m:val="before"/>
    <m:brkBinSub m:val="--"/>
    <m:smallFrac m:val="0"/>
    <m:dispDef/>
    <m:lMargin m:val="0"/>
    <m:rMargin m:val="0"/>
    <m:defJc m:val="centerGroup"/>
    <m:wrapIndent m:val="1440"/>
    <m:intLim m:val="subSup"/>
    <m:naryLim m:val="undOvr"/>
  </m:mathPr>
  <w:themeFontLang w:val="en-N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38E994"/>
  <w15:chartTrackingRefBased/>
  <w15:docId w15:val="{B065AED4-B30A-49FA-B56B-19B0C50B3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NZ"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2787"/>
    <w:rPr>
      <w:rFonts w:eastAsiaTheme="minorHAnsi"/>
      <w:lang w:eastAsia="en-US"/>
    </w:rPr>
  </w:style>
  <w:style w:type="paragraph" w:styleId="Heading1">
    <w:name w:val="heading 1"/>
    <w:basedOn w:val="Normal"/>
    <w:link w:val="Heading1Char"/>
    <w:uiPriority w:val="9"/>
    <w:qFormat/>
    <w:rsid w:val="00DC50C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NZ"/>
    </w:rPr>
  </w:style>
  <w:style w:type="paragraph" w:styleId="Heading2">
    <w:name w:val="heading 2"/>
    <w:basedOn w:val="Normal"/>
    <w:next w:val="Normal"/>
    <w:link w:val="Heading2Char"/>
    <w:uiPriority w:val="9"/>
    <w:unhideWhenUsed/>
    <w:qFormat/>
    <w:rsid w:val="00461EE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61EE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461EE3"/>
    <w:pPr>
      <w:keepNext/>
      <w:keepLines/>
      <w:spacing w:before="40" w:after="0"/>
      <w:jc w:val="center"/>
      <w:outlineLvl w:val="3"/>
    </w:pPr>
    <w:rPr>
      <w:rFonts w:asciiTheme="majorHAnsi" w:eastAsiaTheme="majorEastAsia" w:hAnsiTheme="majorHAnsi" w:cstheme="majorBidi"/>
      <w:b/>
      <w:iCs/>
    </w:rPr>
  </w:style>
  <w:style w:type="paragraph" w:styleId="Heading5">
    <w:name w:val="heading 5"/>
    <w:basedOn w:val="Normal"/>
    <w:next w:val="Normal"/>
    <w:link w:val="Heading5Char"/>
    <w:uiPriority w:val="9"/>
    <w:unhideWhenUsed/>
    <w:qFormat/>
    <w:rsid w:val="00461EE3"/>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C50C2"/>
    <w:rPr>
      <w:rFonts w:ascii="Times New Roman" w:eastAsia="Times New Roman" w:hAnsi="Times New Roman" w:cs="Times New Roman"/>
      <w:b/>
      <w:bCs/>
      <w:kern w:val="36"/>
      <w:sz w:val="48"/>
      <w:szCs w:val="48"/>
      <w:lang w:eastAsia="en-NZ"/>
    </w:rPr>
  </w:style>
  <w:style w:type="paragraph" w:styleId="Header">
    <w:name w:val="header"/>
    <w:basedOn w:val="Normal"/>
    <w:link w:val="HeaderChar"/>
    <w:uiPriority w:val="99"/>
    <w:unhideWhenUsed/>
    <w:rsid w:val="00F47EF9"/>
    <w:pPr>
      <w:tabs>
        <w:tab w:val="center" w:pos="4513"/>
        <w:tab w:val="right" w:pos="9026"/>
      </w:tabs>
      <w:spacing w:after="0" w:line="240" w:lineRule="auto"/>
    </w:pPr>
  </w:style>
  <w:style w:type="character" w:customStyle="1" w:styleId="HeaderChar">
    <w:name w:val="Header Char"/>
    <w:basedOn w:val="DefaultParagraphFont"/>
    <w:link w:val="Header"/>
    <w:uiPriority w:val="99"/>
    <w:rsid w:val="00F47EF9"/>
    <w:rPr>
      <w:rFonts w:eastAsiaTheme="minorHAnsi"/>
      <w:lang w:eastAsia="en-US"/>
    </w:rPr>
  </w:style>
  <w:style w:type="paragraph" w:styleId="Footer">
    <w:name w:val="footer"/>
    <w:basedOn w:val="Normal"/>
    <w:link w:val="FooterChar"/>
    <w:uiPriority w:val="99"/>
    <w:unhideWhenUsed/>
    <w:rsid w:val="00F47EF9"/>
    <w:pPr>
      <w:tabs>
        <w:tab w:val="center" w:pos="4513"/>
        <w:tab w:val="right" w:pos="9026"/>
      </w:tabs>
      <w:spacing w:after="0" w:line="240" w:lineRule="auto"/>
    </w:pPr>
  </w:style>
  <w:style w:type="character" w:customStyle="1" w:styleId="FooterChar">
    <w:name w:val="Footer Char"/>
    <w:basedOn w:val="DefaultParagraphFont"/>
    <w:link w:val="Footer"/>
    <w:uiPriority w:val="99"/>
    <w:rsid w:val="00F47EF9"/>
    <w:rPr>
      <w:rFonts w:eastAsiaTheme="minorHAnsi"/>
      <w:lang w:eastAsia="en-US"/>
    </w:rPr>
  </w:style>
  <w:style w:type="table" w:styleId="TableGrid">
    <w:name w:val="Table Grid"/>
    <w:basedOn w:val="TableNormal"/>
    <w:uiPriority w:val="39"/>
    <w:rsid w:val="00605BC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461EE3"/>
    <w:rPr>
      <w:rFonts w:asciiTheme="majorHAnsi" w:eastAsiaTheme="majorEastAsia" w:hAnsiTheme="majorHAnsi" w:cstheme="majorBidi"/>
      <w:color w:val="2F5496" w:themeColor="accent1" w:themeShade="BF"/>
      <w:lang w:eastAsia="en-US"/>
    </w:rPr>
  </w:style>
  <w:style w:type="character" w:customStyle="1" w:styleId="Heading2Char">
    <w:name w:val="Heading 2 Char"/>
    <w:basedOn w:val="DefaultParagraphFont"/>
    <w:link w:val="Heading2"/>
    <w:uiPriority w:val="9"/>
    <w:rsid w:val="00461EE3"/>
    <w:rPr>
      <w:rFonts w:asciiTheme="majorHAnsi" w:eastAsiaTheme="majorEastAsia" w:hAnsiTheme="majorHAnsi" w:cstheme="majorBidi"/>
      <w:color w:val="2F5496" w:themeColor="accent1" w:themeShade="BF"/>
      <w:sz w:val="26"/>
      <w:szCs w:val="26"/>
      <w:lang w:eastAsia="en-US"/>
    </w:rPr>
  </w:style>
  <w:style w:type="character" w:customStyle="1" w:styleId="Heading3Char">
    <w:name w:val="Heading 3 Char"/>
    <w:basedOn w:val="DefaultParagraphFont"/>
    <w:link w:val="Heading3"/>
    <w:uiPriority w:val="9"/>
    <w:rsid w:val="00461EE3"/>
    <w:rPr>
      <w:rFonts w:asciiTheme="majorHAnsi" w:eastAsiaTheme="majorEastAsia" w:hAnsiTheme="majorHAnsi" w:cstheme="majorBidi"/>
      <w:color w:val="1F3763" w:themeColor="accent1" w:themeShade="7F"/>
      <w:sz w:val="24"/>
      <w:szCs w:val="24"/>
      <w:lang w:eastAsia="en-US"/>
    </w:rPr>
  </w:style>
  <w:style w:type="character" w:customStyle="1" w:styleId="Heading4Char">
    <w:name w:val="Heading 4 Char"/>
    <w:basedOn w:val="DefaultParagraphFont"/>
    <w:link w:val="Heading4"/>
    <w:uiPriority w:val="9"/>
    <w:rsid w:val="00461EE3"/>
    <w:rPr>
      <w:rFonts w:asciiTheme="majorHAnsi" w:eastAsiaTheme="majorEastAsia" w:hAnsiTheme="majorHAnsi" w:cstheme="majorBidi"/>
      <w:b/>
      <w:iCs/>
      <w:lang w:eastAsia="en-US"/>
    </w:rPr>
  </w:style>
  <w:style w:type="paragraph" w:styleId="ListParagraph">
    <w:name w:val="List Paragraph"/>
    <w:basedOn w:val="Normal"/>
    <w:uiPriority w:val="34"/>
    <w:qFormat/>
    <w:rsid w:val="00461EE3"/>
    <w:pPr>
      <w:ind w:left="720"/>
      <w:contextualSpacing/>
    </w:pPr>
  </w:style>
  <w:style w:type="paragraph" w:styleId="Title">
    <w:name w:val="Title"/>
    <w:basedOn w:val="Normal"/>
    <w:next w:val="Normal"/>
    <w:link w:val="TitleChar"/>
    <w:uiPriority w:val="10"/>
    <w:qFormat/>
    <w:rsid w:val="00461EE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61EE3"/>
    <w:rPr>
      <w:rFonts w:asciiTheme="majorHAnsi" w:eastAsiaTheme="majorEastAsia" w:hAnsiTheme="majorHAnsi" w:cstheme="majorBidi"/>
      <w:spacing w:val="-10"/>
      <w:kern w:val="28"/>
      <w:sz w:val="56"/>
      <w:szCs w:val="56"/>
      <w:lang w:eastAsia="en-US"/>
    </w:rPr>
  </w:style>
  <w:style w:type="table" w:styleId="GridTable6Colorful">
    <w:name w:val="Grid Table 6 Colorful"/>
    <w:basedOn w:val="TableNormal"/>
    <w:uiPriority w:val="51"/>
    <w:rsid w:val="00461EE3"/>
    <w:pPr>
      <w:spacing w:after="0" w:line="240" w:lineRule="auto"/>
    </w:pPr>
    <w:rPr>
      <w:rFonts w:eastAsiaTheme="minorHAnsi"/>
      <w:color w:val="000000" w:themeColor="text1"/>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Caption">
    <w:name w:val="caption"/>
    <w:basedOn w:val="Normal"/>
    <w:next w:val="Normal"/>
    <w:uiPriority w:val="35"/>
    <w:unhideWhenUsed/>
    <w:qFormat/>
    <w:rsid w:val="00461EE3"/>
    <w:pPr>
      <w:spacing w:after="200"/>
    </w:pPr>
    <w:rPr>
      <w:i/>
      <w:iCs/>
      <w:color w:val="44546A" w:themeColor="text2"/>
      <w:sz w:val="18"/>
      <w:szCs w:val="18"/>
    </w:rPr>
  </w:style>
  <w:style w:type="character" w:styleId="Hyperlink">
    <w:name w:val="Hyperlink"/>
    <w:basedOn w:val="DefaultParagraphFont"/>
    <w:uiPriority w:val="99"/>
    <w:unhideWhenUsed/>
    <w:rsid w:val="00461EE3"/>
    <w:rPr>
      <w:color w:val="0000FF"/>
      <w:u w:val="single"/>
    </w:rPr>
  </w:style>
  <w:style w:type="table" w:styleId="GridTable4">
    <w:name w:val="Grid Table 4"/>
    <w:basedOn w:val="TableNormal"/>
    <w:uiPriority w:val="49"/>
    <w:rsid w:val="00461EE3"/>
    <w:pPr>
      <w:spacing w:after="0" w:line="240" w:lineRule="auto"/>
    </w:pPr>
    <w:rPr>
      <w:rFonts w:eastAsiaTheme="minorHAnsi"/>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ootnoteText">
    <w:name w:val="footnote text"/>
    <w:basedOn w:val="Normal"/>
    <w:link w:val="FootnoteTextChar"/>
    <w:uiPriority w:val="99"/>
    <w:unhideWhenUsed/>
    <w:rsid w:val="00461EE3"/>
    <w:rPr>
      <w:sz w:val="20"/>
      <w:szCs w:val="20"/>
    </w:rPr>
  </w:style>
  <w:style w:type="character" w:customStyle="1" w:styleId="FootnoteTextChar">
    <w:name w:val="Footnote Text Char"/>
    <w:basedOn w:val="DefaultParagraphFont"/>
    <w:link w:val="FootnoteText"/>
    <w:uiPriority w:val="99"/>
    <w:rsid w:val="00461EE3"/>
    <w:rPr>
      <w:rFonts w:eastAsiaTheme="minorHAnsi"/>
      <w:sz w:val="20"/>
      <w:szCs w:val="20"/>
      <w:lang w:eastAsia="en-US"/>
    </w:rPr>
  </w:style>
  <w:style w:type="character" w:styleId="FootnoteReference">
    <w:name w:val="footnote reference"/>
    <w:basedOn w:val="DefaultParagraphFont"/>
    <w:uiPriority w:val="99"/>
    <w:semiHidden/>
    <w:unhideWhenUsed/>
    <w:rsid w:val="00461EE3"/>
    <w:rPr>
      <w:vertAlign w:val="superscript"/>
    </w:rPr>
  </w:style>
  <w:style w:type="character" w:styleId="UnresolvedMention">
    <w:name w:val="Unresolved Mention"/>
    <w:basedOn w:val="DefaultParagraphFont"/>
    <w:uiPriority w:val="99"/>
    <w:semiHidden/>
    <w:unhideWhenUsed/>
    <w:rsid w:val="00461EE3"/>
    <w:rPr>
      <w:color w:val="605E5C"/>
      <w:shd w:val="clear" w:color="auto" w:fill="E1DFDD"/>
    </w:rPr>
  </w:style>
  <w:style w:type="paragraph" w:customStyle="1" w:styleId="Normal0">
    <w:name w:val="[Normal]"/>
    <w:uiPriority w:val="99"/>
    <w:rsid w:val="00461EE3"/>
    <w:pPr>
      <w:widowControl w:val="0"/>
      <w:autoSpaceDE w:val="0"/>
      <w:autoSpaceDN w:val="0"/>
      <w:adjustRightInd w:val="0"/>
      <w:spacing w:after="0" w:line="240" w:lineRule="auto"/>
    </w:pPr>
    <w:rPr>
      <w:rFonts w:ascii="Arial" w:eastAsiaTheme="minorHAnsi" w:hAnsi="Arial" w:cs="Arial"/>
      <w:sz w:val="24"/>
      <w:szCs w:val="24"/>
      <w:lang w:eastAsia="en-US"/>
    </w:rPr>
  </w:style>
  <w:style w:type="character" w:styleId="EndnoteReference">
    <w:name w:val="endnote reference"/>
    <w:basedOn w:val="DefaultParagraphFont"/>
    <w:uiPriority w:val="99"/>
    <w:semiHidden/>
    <w:unhideWhenUsed/>
    <w:rsid w:val="00461EE3"/>
    <w:rPr>
      <w:vertAlign w:val="superscript"/>
    </w:rPr>
  </w:style>
  <w:style w:type="paragraph" w:styleId="Bibliography">
    <w:name w:val="Bibliography"/>
    <w:basedOn w:val="Normal"/>
    <w:next w:val="Normal"/>
    <w:uiPriority w:val="37"/>
    <w:unhideWhenUsed/>
    <w:rsid w:val="00461EE3"/>
    <w:pPr>
      <w:spacing w:after="0" w:line="480" w:lineRule="auto"/>
      <w:ind w:left="720" w:hanging="720"/>
    </w:pPr>
  </w:style>
  <w:style w:type="character" w:customStyle="1" w:styleId="citationref">
    <w:name w:val="citationref"/>
    <w:basedOn w:val="DefaultParagraphFont"/>
    <w:rsid w:val="00461EE3"/>
  </w:style>
  <w:style w:type="table" w:styleId="ListTable2">
    <w:name w:val="List Table 2"/>
    <w:basedOn w:val="TableNormal"/>
    <w:uiPriority w:val="47"/>
    <w:rsid w:val="00461EE3"/>
    <w:pPr>
      <w:spacing w:after="0" w:line="240" w:lineRule="auto"/>
    </w:pPr>
    <w:rPr>
      <w:rFonts w:eastAsiaTheme="minorHAnsi"/>
      <w:lang w:eastAsia="en-US"/>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copustermhighlight">
    <w:name w:val="scopustermhighlight"/>
    <w:basedOn w:val="DefaultParagraphFont"/>
    <w:rsid w:val="00461EE3"/>
  </w:style>
  <w:style w:type="character" w:styleId="Emphasis">
    <w:name w:val="Emphasis"/>
    <w:basedOn w:val="DefaultParagraphFont"/>
    <w:uiPriority w:val="20"/>
    <w:qFormat/>
    <w:rsid w:val="00461EE3"/>
    <w:rPr>
      <w:i/>
      <w:iCs/>
    </w:rPr>
  </w:style>
  <w:style w:type="character" w:styleId="Strong">
    <w:name w:val="Strong"/>
    <w:basedOn w:val="DefaultParagraphFont"/>
    <w:uiPriority w:val="22"/>
    <w:qFormat/>
    <w:rsid w:val="00461EE3"/>
    <w:rPr>
      <w:b/>
      <w:bCs/>
    </w:rPr>
  </w:style>
  <w:style w:type="character" w:customStyle="1" w:styleId="BalloonTextChar">
    <w:name w:val="Balloon Text Char"/>
    <w:basedOn w:val="DefaultParagraphFont"/>
    <w:link w:val="BalloonText"/>
    <w:uiPriority w:val="99"/>
    <w:semiHidden/>
    <w:rsid w:val="00461EE3"/>
    <w:rPr>
      <w:rFonts w:ascii="Segoe UI" w:hAnsi="Segoe UI" w:cs="Segoe UI"/>
      <w:sz w:val="18"/>
      <w:szCs w:val="18"/>
    </w:rPr>
  </w:style>
  <w:style w:type="paragraph" w:styleId="BalloonText">
    <w:name w:val="Balloon Text"/>
    <w:basedOn w:val="Normal"/>
    <w:link w:val="BalloonTextChar"/>
    <w:uiPriority w:val="99"/>
    <w:semiHidden/>
    <w:unhideWhenUsed/>
    <w:rsid w:val="00461EE3"/>
    <w:pPr>
      <w:spacing w:after="0" w:line="240" w:lineRule="auto"/>
    </w:pPr>
    <w:rPr>
      <w:rFonts w:ascii="Segoe UI" w:eastAsiaTheme="minorEastAsia" w:hAnsi="Segoe UI" w:cs="Segoe UI"/>
      <w:sz w:val="18"/>
      <w:szCs w:val="18"/>
      <w:lang w:eastAsia="zh-CN"/>
    </w:rPr>
  </w:style>
  <w:style w:type="character" w:customStyle="1" w:styleId="BalloonTextChar1">
    <w:name w:val="Balloon Text Char1"/>
    <w:basedOn w:val="DefaultParagraphFont"/>
    <w:uiPriority w:val="99"/>
    <w:semiHidden/>
    <w:rsid w:val="00461EE3"/>
    <w:rPr>
      <w:rFonts w:ascii="Segoe UI" w:eastAsiaTheme="minorHAnsi" w:hAnsi="Segoe UI" w:cs="Segoe UI"/>
      <w:sz w:val="18"/>
      <w:szCs w:val="18"/>
      <w:lang w:eastAsia="en-US"/>
    </w:rPr>
  </w:style>
  <w:style w:type="paragraph" w:styleId="TOCHeading">
    <w:name w:val="TOC Heading"/>
    <w:basedOn w:val="Heading1"/>
    <w:next w:val="Normal"/>
    <w:uiPriority w:val="39"/>
    <w:unhideWhenUsed/>
    <w:qFormat/>
    <w:rsid w:val="00461EE3"/>
    <w:pPr>
      <w:keepNext/>
      <w:keepLines/>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1">
    <w:name w:val="toc 1"/>
    <w:basedOn w:val="Normal"/>
    <w:next w:val="Normal"/>
    <w:autoRedefine/>
    <w:uiPriority w:val="39"/>
    <w:unhideWhenUsed/>
    <w:rsid w:val="00461EE3"/>
    <w:pPr>
      <w:tabs>
        <w:tab w:val="right" w:leader="dot" w:pos="9016"/>
      </w:tabs>
      <w:spacing w:after="100"/>
    </w:pPr>
  </w:style>
  <w:style w:type="paragraph" w:styleId="TOC2">
    <w:name w:val="toc 2"/>
    <w:basedOn w:val="Normal"/>
    <w:next w:val="Normal"/>
    <w:autoRedefine/>
    <w:uiPriority w:val="39"/>
    <w:unhideWhenUsed/>
    <w:rsid w:val="00461EE3"/>
    <w:pPr>
      <w:spacing w:after="100"/>
      <w:ind w:left="220"/>
    </w:pPr>
  </w:style>
  <w:style w:type="paragraph" w:styleId="TOC3">
    <w:name w:val="toc 3"/>
    <w:basedOn w:val="Normal"/>
    <w:next w:val="Normal"/>
    <w:autoRedefine/>
    <w:uiPriority w:val="39"/>
    <w:unhideWhenUsed/>
    <w:rsid w:val="00461EE3"/>
    <w:pPr>
      <w:spacing w:after="100"/>
      <w:ind w:left="440"/>
    </w:pPr>
  </w:style>
  <w:style w:type="paragraph" w:styleId="TableofFigures">
    <w:name w:val="table of figures"/>
    <w:basedOn w:val="Normal"/>
    <w:next w:val="Normal"/>
    <w:uiPriority w:val="99"/>
    <w:unhideWhenUsed/>
    <w:rsid w:val="00461EE3"/>
    <w:pPr>
      <w:spacing w:after="0"/>
    </w:pPr>
  </w:style>
  <w:style w:type="paragraph" w:styleId="NormalWeb">
    <w:name w:val="Normal (Web)"/>
    <w:basedOn w:val="Normal"/>
    <w:uiPriority w:val="99"/>
    <w:unhideWhenUsed/>
    <w:rsid w:val="00461EE3"/>
    <w:pPr>
      <w:spacing w:before="100" w:beforeAutospacing="1" w:after="100" w:afterAutospacing="1" w:line="240" w:lineRule="auto"/>
    </w:pPr>
    <w:rPr>
      <w:rFonts w:ascii="Times New Roman" w:eastAsiaTheme="minorEastAsia" w:hAnsi="Times New Roman" w:cs="Times New Roman"/>
      <w:sz w:val="24"/>
      <w:szCs w:val="24"/>
      <w:lang w:eastAsia="en-NZ"/>
    </w:rPr>
  </w:style>
  <w:style w:type="character" w:customStyle="1" w:styleId="CommentTextChar">
    <w:name w:val="Comment Text Char"/>
    <w:basedOn w:val="DefaultParagraphFont"/>
    <w:link w:val="CommentText"/>
    <w:uiPriority w:val="99"/>
    <w:rsid w:val="00461EE3"/>
    <w:rPr>
      <w:sz w:val="20"/>
      <w:szCs w:val="20"/>
    </w:rPr>
  </w:style>
  <w:style w:type="paragraph" w:styleId="CommentText">
    <w:name w:val="annotation text"/>
    <w:basedOn w:val="Normal"/>
    <w:link w:val="CommentTextChar"/>
    <w:uiPriority w:val="99"/>
    <w:unhideWhenUsed/>
    <w:rsid w:val="00461EE3"/>
    <w:pPr>
      <w:spacing w:line="240" w:lineRule="auto"/>
    </w:pPr>
    <w:rPr>
      <w:rFonts w:eastAsiaTheme="minorEastAsia"/>
      <w:sz w:val="20"/>
      <w:szCs w:val="20"/>
      <w:lang w:eastAsia="zh-CN"/>
    </w:rPr>
  </w:style>
  <w:style w:type="character" w:customStyle="1" w:styleId="CommentTextChar1">
    <w:name w:val="Comment Text Char1"/>
    <w:basedOn w:val="DefaultParagraphFont"/>
    <w:uiPriority w:val="99"/>
    <w:semiHidden/>
    <w:rsid w:val="00461EE3"/>
    <w:rPr>
      <w:rFonts w:eastAsiaTheme="minorHAnsi"/>
      <w:sz w:val="20"/>
      <w:szCs w:val="20"/>
      <w:lang w:eastAsia="en-US"/>
    </w:rPr>
  </w:style>
  <w:style w:type="character" w:customStyle="1" w:styleId="CommentSubjectChar">
    <w:name w:val="Comment Subject Char"/>
    <w:basedOn w:val="CommentTextChar"/>
    <w:link w:val="CommentSubject"/>
    <w:uiPriority w:val="99"/>
    <w:semiHidden/>
    <w:rsid w:val="00461EE3"/>
    <w:rPr>
      <w:b/>
      <w:bCs/>
      <w:sz w:val="20"/>
      <w:szCs w:val="20"/>
    </w:rPr>
  </w:style>
  <w:style w:type="paragraph" w:styleId="CommentSubject">
    <w:name w:val="annotation subject"/>
    <w:basedOn w:val="CommentText"/>
    <w:next w:val="CommentText"/>
    <w:link w:val="CommentSubjectChar"/>
    <w:uiPriority w:val="99"/>
    <w:semiHidden/>
    <w:unhideWhenUsed/>
    <w:rsid w:val="00461EE3"/>
    <w:rPr>
      <w:b/>
      <w:bCs/>
    </w:rPr>
  </w:style>
  <w:style w:type="character" w:customStyle="1" w:styleId="CommentSubjectChar1">
    <w:name w:val="Comment Subject Char1"/>
    <w:basedOn w:val="CommentTextChar1"/>
    <w:uiPriority w:val="99"/>
    <w:semiHidden/>
    <w:rsid w:val="00461EE3"/>
    <w:rPr>
      <w:rFonts w:eastAsiaTheme="minorHAnsi"/>
      <w:b/>
      <w:bCs/>
      <w:sz w:val="20"/>
      <w:szCs w:val="20"/>
      <w:lang w:eastAsia="en-US"/>
    </w:rPr>
  </w:style>
  <w:style w:type="paragraph" w:styleId="Revision">
    <w:name w:val="Revision"/>
    <w:hidden/>
    <w:uiPriority w:val="99"/>
    <w:semiHidden/>
    <w:rsid w:val="00461EE3"/>
    <w:pPr>
      <w:spacing w:after="0" w:line="240" w:lineRule="auto"/>
    </w:pPr>
    <w:rPr>
      <w:rFonts w:eastAsiaTheme="minorHAnsi"/>
      <w:lang w:eastAsia="en-US"/>
    </w:rPr>
  </w:style>
  <w:style w:type="character" w:styleId="CommentReference">
    <w:name w:val="annotation reference"/>
    <w:basedOn w:val="DefaultParagraphFont"/>
    <w:uiPriority w:val="99"/>
    <w:semiHidden/>
    <w:unhideWhenUsed/>
    <w:rsid w:val="00461EE3"/>
    <w:rPr>
      <w:sz w:val="16"/>
      <w:szCs w:val="16"/>
    </w:rPr>
  </w:style>
  <w:style w:type="character" w:customStyle="1" w:styleId="hgkelc">
    <w:name w:val="hgkelc"/>
    <w:basedOn w:val="DefaultParagraphFont"/>
    <w:rsid w:val="00461EE3"/>
  </w:style>
  <w:style w:type="table" w:styleId="GridTable4-Accent2">
    <w:name w:val="Grid Table 4 Accent 2"/>
    <w:basedOn w:val="TableNormal"/>
    <w:uiPriority w:val="49"/>
    <w:rsid w:val="00461EE3"/>
    <w:pPr>
      <w:spacing w:after="0" w:line="240" w:lineRule="auto"/>
    </w:pPr>
    <w:rPr>
      <w:rFonts w:eastAsiaTheme="minorHAnsi"/>
      <w:lang w:eastAsia="en-US"/>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PlainTable1">
    <w:name w:val="Plain Table 1"/>
    <w:basedOn w:val="TableNormal"/>
    <w:uiPriority w:val="41"/>
    <w:rsid w:val="00461EE3"/>
    <w:pPr>
      <w:spacing w:after="0" w:line="240" w:lineRule="auto"/>
    </w:pPr>
    <w:rPr>
      <w:rFonts w:eastAsiaTheme="minorHAnsi"/>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le">
    <w:name w:val="Table"/>
    <w:basedOn w:val="Heading4"/>
    <w:link w:val="TableChar"/>
    <w:qFormat/>
    <w:rsid w:val="00461EE3"/>
    <w:pPr>
      <w:spacing w:before="160" w:after="120" w:line="240" w:lineRule="auto"/>
    </w:pPr>
    <w:rPr>
      <w:b w:val="0"/>
      <w:bCs/>
      <w:i/>
      <w:color w:val="000000" w:themeColor="text1"/>
    </w:rPr>
  </w:style>
  <w:style w:type="character" w:customStyle="1" w:styleId="TableChar">
    <w:name w:val="Table Char"/>
    <w:basedOn w:val="Heading4Char"/>
    <w:link w:val="Table"/>
    <w:rsid w:val="00461EE3"/>
    <w:rPr>
      <w:rFonts w:asciiTheme="majorHAnsi" w:eastAsiaTheme="majorEastAsia" w:hAnsiTheme="majorHAnsi" w:cstheme="majorBidi"/>
      <w:b w:val="0"/>
      <w:bCs/>
      <w:i/>
      <w:iCs/>
      <w:color w:val="000000" w:themeColor="text1"/>
      <w:lang w:eastAsia="en-US"/>
    </w:rPr>
  </w:style>
  <w:style w:type="paragraph" w:customStyle="1" w:styleId="Figure">
    <w:name w:val="Figure"/>
    <w:basedOn w:val="Heading5"/>
    <w:link w:val="FigureChar"/>
    <w:qFormat/>
    <w:rsid w:val="00461EE3"/>
    <w:pPr>
      <w:spacing w:before="160" w:after="120"/>
      <w:jc w:val="center"/>
    </w:pPr>
  </w:style>
  <w:style w:type="table" w:styleId="GridTable2">
    <w:name w:val="Grid Table 2"/>
    <w:basedOn w:val="TableNormal"/>
    <w:uiPriority w:val="47"/>
    <w:rsid w:val="00461EE3"/>
    <w:pPr>
      <w:spacing w:after="0" w:line="240" w:lineRule="auto"/>
    </w:pPr>
    <w:rPr>
      <w:rFonts w:eastAsiaTheme="minorHAnsi"/>
      <w:lang w:eastAsia="en-US"/>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FigureChar">
    <w:name w:val="Figure Char"/>
    <w:basedOn w:val="Heading5Char"/>
    <w:link w:val="Figure"/>
    <w:rsid w:val="00461EE3"/>
    <w:rPr>
      <w:rFonts w:asciiTheme="majorHAnsi" w:eastAsiaTheme="majorEastAsia" w:hAnsiTheme="majorHAnsi" w:cstheme="majorBidi"/>
      <w:color w:val="2F5496" w:themeColor="accent1" w:themeShade="BF"/>
      <w:lang w:eastAsia="en-US"/>
    </w:rPr>
  </w:style>
  <w:style w:type="table" w:styleId="GridTable5Dark">
    <w:name w:val="Grid Table 5 Dark"/>
    <w:basedOn w:val="TableNormal"/>
    <w:uiPriority w:val="50"/>
    <w:rsid w:val="00461EE3"/>
    <w:pPr>
      <w:spacing w:after="0" w:line="240" w:lineRule="auto"/>
    </w:pPr>
    <w:rPr>
      <w:rFonts w:eastAsiaTheme="minorHAnsi"/>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4-Accent3">
    <w:name w:val="Grid Table 4 Accent 3"/>
    <w:basedOn w:val="TableNormal"/>
    <w:uiPriority w:val="49"/>
    <w:rsid w:val="00461EE3"/>
    <w:pPr>
      <w:spacing w:after="0" w:line="240" w:lineRule="auto"/>
    </w:pPr>
    <w:rPr>
      <w:rFonts w:eastAsiaTheme="minorHAnsi"/>
      <w:lang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TitleSecondary">
    <w:name w:val="Title Secondary"/>
    <w:basedOn w:val="Normal"/>
    <w:rsid w:val="00461EE3"/>
    <w:pPr>
      <w:spacing w:after="0" w:line="240" w:lineRule="auto"/>
    </w:pPr>
    <w:rPr>
      <w:rFonts w:ascii="Verdana" w:eastAsia="Times New Roman" w:hAnsi="Verdana" w:cs="Times New Roman"/>
      <w:sz w:val="28"/>
      <w:szCs w:val="20"/>
      <w:lang w:val="en-AU"/>
    </w:rPr>
  </w:style>
  <w:style w:type="table" w:styleId="GridTable1Light">
    <w:name w:val="Grid Table 1 Light"/>
    <w:basedOn w:val="TableNormal"/>
    <w:uiPriority w:val="46"/>
    <w:rsid w:val="00461EE3"/>
    <w:pPr>
      <w:spacing w:after="0" w:line="240" w:lineRule="auto"/>
    </w:pPr>
    <w:rPr>
      <w:rFonts w:eastAsiaTheme="minorHAnsi"/>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NoSpacing">
    <w:name w:val="No Spacing"/>
    <w:uiPriority w:val="1"/>
    <w:qFormat/>
    <w:rsid w:val="002B39B4"/>
    <w:pPr>
      <w:spacing w:after="0" w:line="240" w:lineRule="auto"/>
    </w:pPr>
    <w:rPr>
      <w:rFonts w:eastAsiaTheme="minorHAnsi"/>
      <w:lang w:eastAsia="en-US"/>
    </w:rPr>
  </w:style>
  <w:style w:type="paragraph" w:customStyle="1" w:styleId="Default">
    <w:name w:val="Default"/>
    <w:rsid w:val="00652069"/>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BAF5BE-F9A1-442F-A22B-F34EA38810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21579</Words>
  <Characters>145662</Characters>
  <Application>Microsoft Office Word</Application>
  <DocSecurity>0</DocSecurity>
  <Lines>2801</Lines>
  <Paragraphs>2171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Arnob</dc:creator>
  <cp:keywords/>
  <dc:description/>
  <cp:lastModifiedBy>Arnob Zahid</cp:lastModifiedBy>
  <cp:revision>4</cp:revision>
  <cp:lastPrinted>2022-09-19T16:17:00Z</cp:lastPrinted>
  <dcterms:created xsi:type="dcterms:W3CDTF">2022-10-02T15:01:00Z</dcterms:created>
  <dcterms:modified xsi:type="dcterms:W3CDTF">2022-10-02T15:09:00Z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zotero-version="6.0.9"&gt;&lt;session id="7mPY2qDt"/&gt;&lt;style id="http://www.zotero.org/styles/apa" locale="en-GB" hasBibliography="1" bibliographyStyleHasBeenSet="1"/&gt;&lt;prefs&gt;&lt;pref name="fieldType" value="Field"/&gt;&lt;/prefs&gt;&lt;/data&gt;</vt:lpwstr>
  </property>
  <property fmtid="{D5CDD505-2E9C-101B-9397-08002B2CF9AE}" pid="3" name="GrammarlyDocumentId">
    <vt:lpwstr>c1cebccf8ea7022643bb6267a6a8587979762a636bd085ea74a42d3b39cbd24c</vt:lpwstr>
  </property>
</Properties>
</file>